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60" w:after="20"/>
      </w:pPr>
      <w:r>
        <w:rPr>
          <w:rFonts w:ascii="Calibri" w:hAnsi="Calibri"/>
          <w:b/>
          <w:color w:val="172736"/>
          <w:sz w:val="38"/>
        </w:rPr>
        <w:t>CONSOLIDATED SUPPORT PACKAGE</w:t>
      </w:r>
    </w:p>
    <w:p>
      <w:pPr>
        <w:keepNext/>
        <w:spacing w:before="0" w:after="140"/>
      </w:pPr>
      <w:r>
        <w:rPr>
          <w:rFonts w:ascii="Calibri" w:hAnsi="Calibri"/>
          <w:b/>
          <w:color w:val="606A74"/>
          <w:sz w:val="25"/>
        </w:rPr>
        <w:t>HVAC relocation REA | Price and time substantiation</w:t>
      </w:r>
    </w:p>
    <w:p>
      <w:pPr>
        <w:spacing w:before="0" w:after="40" w:line="252" w:lineRule="auto"/>
      </w:pPr>
      <w:r>
        <w:rPr>
          <w:rFonts w:ascii="Calibri" w:hAnsi="Calibri"/>
          <w:b/>
          <w:color w:val="172736"/>
          <w:sz w:val="21"/>
        </w:rPr>
        <w:t xml:space="preserve">TO: </w:t>
      </w:r>
      <w:r>
        <w:rPr>
          <w:rFonts w:ascii="Calibri" w:hAnsi="Calibri"/>
          <w:color w:val="172736"/>
          <w:sz w:val="21"/>
        </w:rPr>
        <w:t>Contracting Officer, 713th Contracting Squadron (713 CONS)</w:t>
      </w:r>
    </w:p>
    <w:p>
      <w:pPr>
        <w:spacing w:before="0" w:after="40" w:line="252" w:lineRule="auto"/>
      </w:pPr>
      <w:r>
        <w:rPr>
          <w:rFonts w:ascii="Calibri" w:hAnsi="Calibri"/>
          <w:b/>
          <w:color w:val="172736"/>
          <w:sz w:val="21"/>
        </w:rPr>
        <w:t xml:space="preserve">FROM: </w:t>
      </w:r>
      <w:r>
        <w:rPr>
          <w:rFonts w:ascii="Calibri" w:hAnsi="Calibri"/>
          <w:color w:val="172736"/>
          <w:sz w:val="21"/>
        </w:rPr>
        <w:t>Outer Heaven Builders, LLC</w:t>
      </w:r>
    </w:p>
    <w:p>
      <w:pPr>
        <w:spacing w:before="0" w:after="40" w:line="252" w:lineRule="auto"/>
      </w:pPr>
      <w:r>
        <w:rPr>
          <w:rFonts w:ascii="Calibri" w:hAnsi="Calibri"/>
          <w:b/>
          <w:color w:val="172736"/>
          <w:sz w:val="21"/>
        </w:rPr>
        <w:t xml:space="preserve">DATE: </w:t>
      </w:r>
      <w:r>
        <w:rPr>
          <w:rFonts w:ascii="Calibri" w:hAnsi="Calibri"/>
          <w:color w:val="172736"/>
          <w:sz w:val="21"/>
        </w:rPr>
        <w:t>7 May 2027</w:t>
      </w:r>
    </w:p>
    <w:p>
      <w:pPr>
        <w:spacing w:before="0" w:after="40" w:line="252" w:lineRule="auto"/>
      </w:pPr>
      <w:r>
        <w:rPr>
          <w:rFonts w:ascii="Calibri" w:hAnsi="Calibri"/>
          <w:b/>
          <w:color w:val="172736"/>
          <w:sz w:val="21"/>
        </w:rPr>
        <w:t xml:space="preserve">CONTRACT: </w:t>
      </w:r>
      <w:r>
        <w:rPr>
          <w:rFonts w:ascii="Calibri" w:hAnsi="Calibri"/>
          <w:color w:val="172736"/>
          <w:sz w:val="21"/>
        </w:rPr>
        <w:t>SM-SABER-01, Task Order 27-041</w:t>
      </w:r>
    </w:p>
    <w:p>
      <w:pPr>
        <w:spacing w:before="0" w:after="40" w:line="252" w:lineRule="auto"/>
      </w:pPr>
      <w:r>
        <w:rPr>
          <w:rFonts w:ascii="Calibri" w:hAnsi="Calibri"/>
          <w:b/>
          <w:color w:val="172736"/>
          <w:sz w:val="21"/>
        </w:rPr>
        <w:t xml:space="preserve">RELATED SUBMISSION: </w:t>
      </w:r>
      <w:r>
        <w:rPr>
          <w:rFonts w:ascii="Calibri" w:hAnsi="Calibri"/>
          <w:color w:val="172736"/>
          <w:sz w:val="21"/>
        </w:rPr>
        <w:t>AB-01 dated 4 May 2027</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8EEF5"/>
            <w:tcMar>
              <w:top w:w="80" w:type="dxa"/>
              <w:bottom w:w="80" w:type="dxa"/>
              <w:start w:w="120" w:type="dxa"/>
              <w:end w:w="120" w:type="dxa"/>
            </w:tcMar>
            <w:vAlign w:val="center"/>
          </w:tcPr>
          <w:p>
            <w:pPr>
              <w:spacing w:before="0" w:after="0" w:line="252" w:lineRule="auto"/>
            </w:pPr>
            <w:r>
              <w:rPr>
                <w:rFonts w:ascii="Calibri" w:hAnsi="Calibri"/>
                <w:b/>
                <w:color w:val="2E74B5"/>
                <w:sz w:val="20"/>
              </w:rPr>
              <w:t xml:space="preserve">REQUESTED ADJUSTMENT  </w:t>
            </w:r>
            <w:r>
              <w:rPr>
                <w:rFonts w:ascii="Calibri" w:hAnsi="Calibri"/>
                <w:b/>
                <w:color w:val="172736"/>
                <w:sz w:val="20"/>
              </w:rPr>
              <w:t>$280,000  |  14 calendar days  |  Revised completion: 29 September 2027</w:t>
            </w:r>
          </w:p>
        </w:tc>
      </w:tr>
    </w:tbl>
    <w:p>
      <w:pPr>
        <w:pStyle w:val="Heading1"/>
        <w:keepNext/>
      </w:pPr>
      <w:r>
        <w:t>Proposal basis</w:t>
      </w:r>
    </w:p>
    <w:p>
      <w:pPr>
        <w:spacing w:before="0" w:after="100" w:line="259" w:lineRule="auto"/>
      </w:pPr>
      <w:r>
        <w:t>This package consolidates the price, quantity, salvage, mitigation, and schedule records supporting Outer Heaven's AB-01 request. Civil Engineering determined that the awarded straight HVAC route and the separately awarded stage configuration could not coexist. The priced correction removes only affected installed work, preserves unaffected work, and reroutes the HVAC distribution around the western stage clearance zone.</w:t>
      </w:r>
    </w:p>
    <w:tbl>
      <w:tblPr>
        <w:tblStyle w:val="TableGrid"/>
        <w:tblW w:type="dxa" w:w="9360"/>
        <w:jc w:val="left"/>
        <w:tblLayout w:type="fixed"/>
        <w:tblLook w:firstColumn="1" w:firstRow="1" w:lastColumn="0" w:lastRow="0" w:noHBand="0" w:noVBand="1" w:val="04A0"/>
        <w:tblInd w:w="120" w:type="dxa"/>
      </w:tblPr>
      <w:tblGrid>
        <w:gridCol w:w="7000"/>
        <w:gridCol w:w="2360"/>
      </w:tblGrid>
      <w:tr>
        <w:tc>
          <w:tcPr>
            <w:tcW w:type="dxa" w:w="70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Zanzibar Mechanical net subcontract quotation</w:t>
            </w:r>
          </w:p>
        </w:tc>
        <w:tc>
          <w:tcPr>
            <w:tcW w:type="dxa" w:w="2360"/>
            <w:shd w:fill="F2F4F7"/>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$208,000</w:t>
            </w:r>
          </w:p>
        </w:tc>
      </w:tr>
      <w:tr>
        <w:tc>
          <w:tcPr>
            <w:tcW w:type="dxa" w:w="70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Extended field supervision / SSHO / quality control</w:t>
            </w:r>
          </w:p>
        </w:tc>
        <w:tc>
          <w:tcPr>
            <w:tcW w:type="dxa" w:w="23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$30,800</w:t>
            </w:r>
          </w:p>
        </w:tc>
      </w:tr>
      <w:tr>
        <w:tc>
          <w:tcPr>
            <w:tcW w:type="dxa" w:w="70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Site logistics and access-equipment coordination</w:t>
            </w:r>
          </w:p>
        </w:tc>
        <w:tc>
          <w:tcPr>
            <w:tcW w:type="dxa" w:w="2360"/>
            <w:shd w:fill="F2F4F7"/>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$11,200</w:t>
            </w:r>
          </w:p>
        </w:tc>
      </w:tr>
      <w:tr>
        <w:tc>
          <w:tcPr>
            <w:tcW w:type="dxa" w:w="70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Prime home-office overhead</w:t>
            </w:r>
          </w:p>
        </w:tc>
        <w:tc>
          <w:tcPr>
            <w:tcW w:type="dxa" w:w="23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$12,000</w:t>
            </w:r>
          </w:p>
        </w:tc>
      </w:tr>
      <w:tr>
        <w:tc>
          <w:tcPr>
            <w:tcW w:type="dxa" w:w="70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Bond and insurance adjustment</w:t>
            </w:r>
          </w:p>
        </w:tc>
        <w:tc>
          <w:tcPr>
            <w:tcW w:type="dxa" w:w="2360"/>
            <w:shd w:fill="F2F4F7"/>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$4,000</w:t>
            </w:r>
          </w:p>
        </w:tc>
      </w:tr>
      <w:tr>
        <w:tc>
          <w:tcPr>
            <w:tcW w:type="dxa" w:w="70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8"/>
              </w:rPr>
              <w:t>Prime profit</w:t>
            </w:r>
          </w:p>
        </w:tc>
        <w:tc>
          <w:tcPr>
            <w:tcW w:type="dxa" w:w="2360"/>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$14,000</w:t>
            </w:r>
          </w:p>
        </w:tc>
      </w:tr>
      <w:tr>
        <w:tc>
          <w:tcPr>
            <w:tcW w:type="dxa" w:w="700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8"/>
              </w:rPr>
              <w:t>TOTAL REQUESTED PRICE ADJUSTMENT</w:t>
            </w:r>
          </w:p>
        </w:tc>
        <w:tc>
          <w:tcPr>
            <w:tcW w:type="dxa" w:w="2360"/>
            <w:shd w:fill="E8EEF5"/>
            <w:tcMar>
              <w:top w:w="80" w:type="dxa"/>
              <w:bottom w:w="80" w:type="dxa"/>
              <w:start w:w="120" w:type="dxa"/>
              <w:end w:w="120" w:type="dxa"/>
            </w:tcMar>
            <w:vAlign w:val="center"/>
          </w:tcPr>
          <w:p>
            <w:pPr>
              <w:spacing w:before="0" w:after="0" w:line="240" w:lineRule="auto"/>
              <w:jc w:val="right"/>
            </w:pPr>
            <w:r>
              <w:rPr>
                <w:rFonts w:ascii="Calibri" w:hAnsi="Calibri"/>
                <w:b/>
                <w:color w:val="172736"/>
                <w:sz w:val="18"/>
              </w:rPr>
              <w:t>$280,000</w:t>
            </w:r>
          </w:p>
        </w:tc>
      </w:tr>
    </w:tbl>
    <w:p>
      <w:pPr>
        <w:pStyle w:val="Heading1"/>
        <w:keepNext/>
      </w:pPr>
      <w:r>
        <w:t>Reconciliation</w:t>
      </w:r>
    </w:p>
    <w:p>
      <w:pPr>
        <w:spacing w:before="0" w:after="60" w:line="259" w:lineRule="auto"/>
      </w:pPr>
      <w:r>
        <w:t>The subcontract quotation is net of $28,200 in salvage, reuse, and avoided-work credits. Prime costs are limited to the added 14-day critical period and the incremental administration of the correction. No original-scope amount, previously reimbursed cost, or cost claimed under another request is included.</w:t>
      </w:r>
    </w:p>
    <w:p>
      <w:r>
        <w:br w:type="page"/>
      </w:r>
    </w:p>
    <w:p>
      <w:pPr>
        <w:keepNext/>
        <w:spacing w:before="60" w:after="20"/>
      </w:pPr>
      <w:r>
        <w:rPr>
          <w:rFonts w:ascii="Calibri" w:hAnsi="Calibri"/>
          <w:b/>
          <w:color w:val="172736"/>
          <w:sz w:val="38"/>
        </w:rPr>
        <w:t>SUBCONTRACTOR QUOTATION</w:t>
      </w:r>
    </w:p>
    <w:p>
      <w:pPr>
        <w:keepNext/>
        <w:spacing w:before="0" w:after="140"/>
      </w:pPr>
      <w:r>
        <w:rPr>
          <w:rFonts w:ascii="Calibri" w:hAnsi="Calibri"/>
          <w:b/>
          <w:color w:val="606A74"/>
          <w:sz w:val="25"/>
        </w:rPr>
        <w:t>Zanzibar Mechanical Services, LLC | Quotation ZMS-27-118-R2</w:t>
      </w:r>
    </w:p>
    <w:p>
      <w:pPr>
        <w:spacing w:before="0" w:after="40" w:line="252" w:lineRule="auto"/>
      </w:pPr>
      <w:r>
        <w:rPr>
          <w:rFonts w:ascii="Calibri" w:hAnsi="Calibri"/>
          <w:b/>
          <w:color w:val="172736"/>
          <w:sz w:val="21"/>
        </w:rPr>
        <w:t xml:space="preserve">QUOTE DATE: </w:t>
      </w:r>
      <w:r>
        <w:rPr>
          <w:rFonts w:ascii="Calibri" w:hAnsi="Calibri"/>
          <w:color w:val="172736"/>
          <w:sz w:val="21"/>
        </w:rPr>
        <w:t>6 May 2027</w:t>
      </w:r>
    </w:p>
    <w:p>
      <w:pPr>
        <w:spacing w:before="0" w:after="40" w:line="252" w:lineRule="auto"/>
      </w:pPr>
      <w:r>
        <w:rPr>
          <w:rFonts w:ascii="Calibri" w:hAnsi="Calibri"/>
          <w:b/>
          <w:color w:val="172736"/>
          <w:sz w:val="21"/>
        </w:rPr>
        <w:t xml:space="preserve">VALIDITY: </w:t>
      </w:r>
      <w:r>
        <w:rPr>
          <w:rFonts w:ascii="Calibri" w:hAnsi="Calibri"/>
          <w:color w:val="172736"/>
          <w:sz w:val="21"/>
        </w:rPr>
        <w:t>30 calendar days</w:t>
      </w:r>
    </w:p>
    <w:p>
      <w:pPr>
        <w:spacing w:before="0" w:after="40" w:line="252" w:lineRule="auto"/>
      </w:pPr>
      <w:r>
        <w:rPr>
          <w:rFonts w:ascii="Calibri" w:hAnsi="Calibri"/>
          <w:b/>
          <w:color w:val="172736"/>
          <w:sz w:val="21"/>
        </w:rPr>
        <w:t xml:space="preserve">BASIS: </w:t>
      </w:r>
      <w:r>
        <w:rPr>
          <w:rFonts w:ascii="Calibri" w:hAnsi="Calibri"/>
          <w:color w:val="172736"/>
          <w:sz w:val="21"/>
        </w:rPr>
        <w:t>B-03 installed route; field quantities through 3 May; Government-requested perimeter correction</w:t>
      </w:r>
    </w:p>
    <w:tbl>
      <w:tblPr>
        <w:tblStyle w:val="TableGrid"/>
        <w:tblW w:type="dxa" w:w="9360"/>
        <w:jc w:val="left"/>
        <w:tblLayout w:type="fixed"/>
        <w:tblLook w:firstColumn="1" w:firstRow="1" w:lastColumn="0" w:lastRow="0" w:noHBand="0" w:noVBand="1" w:val="04A0"/>
        <w:tblInd w:w="120" w:type="dxa"/>
      </w:tblPr>
      <w:tblGrid>
        <w:gridCol w:w="650"/>
        <w:gridCol w:w="5260"/>
        <w:gridCol w:w="1450"/>
        <w:gridCol w:w="2000"/>
      </w:tblGrid>
      <w:tr>
        <w:tc>
          <w:tcPr>
            <w:tcW w:type="dxa" w:w="65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ITEM</w:t>
            </w:r>
          </w:p>
        </w:tc>
        <w:tc>
          <w:tcPr>
            <w:tcW w:type="dxa" w:w="526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WORK ELEMENT</w:t>
            </w:r>
          </w:p>
        </w:tc>
        <w:tc>
          <w:tcPr>
            <w:tcW w:type="dxa" w:w="145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QTY / UNIT</w:t>
            </w:r>
          </w:p>
        </w:tc>
        <w:tc>
          <w:tcPr>
            <w:tcW w:type="dxa" w:w="200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AMOUNT</w:t>
            </w:r>
          </w:p>
        </w:tc>
      </w:tr>
      <w:tr>
        <w:tc>
          <w:tcPr>
            <w:tcW w:type="dxa" w:w="6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01</w:t>
            </w:r>
          </w:p>
        </w:tc>
        <w:tc>
          <w:tcPr>
            <w:tcW w:type="dxa" w:w="52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Field verification, coordination, and revised shop drawings</w:t>
            </w:r>
          </w:p>
        </w:tc>
        <w:tc>
          <w:tcPr>
            <w:tcW w:type="dxa" w:w="14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240 HR</w:t>
            </w:r>
          </w:p>
        </w:tc>
        <w:tc>
          <w:tcPr>
            <w:tcW w:type="dxa" w:w="20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$18,500</w:t>
            </w:r>
          </w:p>
        </w:tc>
      </w:tr>
      <w:tr>
        <w:tc>
          <w:tcPr>
            <w:tcW w:type="dxa" w:w="6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02</w:t>
            </w:r>
          </w:p>
        </w:tc>
        <w:tc>
          <w:tcPr>
            <w:tcW w:type="dxa" w:w="526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Protection and selective demolition of conflicting installed runs</w:t>
            </w:r>
          </w:p>
        </w:tc>
        <w:tc>
          <w:tcPr>
            <w:tcW w:type="dxa" w:w="14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1 LS</w:t>
            </w:r>
          </w:p>
        </w:tc>
        <w:tc>
          <w:tcPr>
            <w:tcW w:type="dxa" w:w="2000"/>
            <w:shd w:fill="F2F4F7"/>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$31,800</w:t>
            </w:r>
          </w:p>
        </w:tc>
      </w:tr>
      <w:tr>
        <w:tc>
          <w:tcPr>
            <w:tcW w:type="dxa" w:w="6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03</w:t>
            </w:r>
          </w:p>
        </w:tc>
        <w:tc>
          <w:tcPr>
            <w:tcW w:type="dxa" w:w="52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Replacement insulated canvas duct, fittings, and supports</w:t>
            </w:r>
          </w:p>
        </w:tc>
        <w:tc>
          <w:tcPr>
            <w:tcW w:type="dxa" w:w="14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730 LF</w:t>
            </w:r>
          </w:p>
        </w:tc>
        <w:tc>
          <w:tcPr>
            <w:tcW w:type="dxa" w:w="20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$86,400</w:t>
            </w:r>
          </w:p>
        </w:tc>
      </w:tr>
      <w:tr>
        <w:tc>
          <w:tcPr>
            <w:tcW w:type="dxa" w:w="6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04</w:t>
            </w:r>
          </w:p>
        </w:tc>
        <w:tc>
          <w:tcPr>
            <w:tcW w:type="dxa" w:w="526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Replacement control conduit, junctions, and conductors</w:t>
            </w:r>
          </w:p>
        </w:tc>
        <w:tc>
          <w:tcPr>
            <w:tcW w:type="dxa" w:w="14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510 LF</w:t>
            </w:r>
          </w:p>
        </w:tc>
        <w:tc>
          <w:tcPr>
            <w:tcW w:type="dxa" w:w="2000"/>
            <w:shd w:fill="F2F4F7"/>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$34,600</w:t>
            </w:r>
          </w:p>
        </w:tc>
      </w:tr>
      <w:tr>
        <w:tc>
          <w:tcPr>
            <w:tcW w:type="dxa" w:w="6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05</w:t>
            </w:r>
          </w:p>
        </w:tc>
        <w:tc>
          <w:tcPr>
            <w:tcW w:type="dxa" w:w="52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Reinstallation labor, lifts, and access equipment</w:t>
            </w:r>
          </w:p>
        </w:tc>
        <w:tc>
          <w:tcPr>
            <w:tcW w:type="dxa" w:w="14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18 SHIFT</w:t>
            </w:r>
          </w:p>
        </w:tc>
        <w:tc>
          <w:tcPr>
            <w:tcW w:type="dxa" w:w="20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$52,300</w:t>
            </w:r>
          </w:p>
        </w:tc>
      </w:tr>
      <w:tr>
        <w:tc>
          <w:tcPr>
            <w:tcW w:type="dxa" w:w="6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06</w:t>
            </w:r>
          </w:p>
        </w:tc>
        <w:tc>
          <w:tcPr>
            <w:tcW w:type="dxa" w:w="526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Testing, adjusting, balancing, controls checkout, and startup</w:t>
            </w:r>
          </w:p>
        </w:tc>
        <w:tc>
          <w:tcPr>
            <w:tcW w:type="dxa" w:w="14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11 ZONE</w:t>
            </w:r>
          </w:p>
        </w:tc>
        <w:tc>
          <w:tcPr>
            <w:tcW w:type="dxa" w:w="2000"/>
            <w:shd w:fill="F2F4F7"/>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$12,600</w:t>
            </w:r>
          </w:p>
        </w:tc>
      </w:tr>
      <w:tr>
        <w:tc>
          <w:tcPr>
            <w:tcW w:type="dxa" w:w="65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r>
          </w:p>
        </w:tc>
        <w:tc>
          <w:tcPr>
            <w:tcW w:type="dxa" w:w="526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GROSS ADDED WORK</w:t>
            </w:r>
          </w:p>
        </w:tc>
        <w:tc>
          <w:tcPr>
            <w:tcW w:type="dxa" w:w="145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r>
          </w:p>
        </w:tc>
        <w:tc>
          <w:tcPr>
            <w:tcW w:type="dxa" w:w="2000"/>
            <w:shd w:fill="E8EEF5"/>
            <w:tcMar>
              <w:top w:w="80" w:type="dxa"/>
              <w:bottom w:w="80" w:type="dxa"/>
              <w:start w:w="120" w:type="dxa"/>
              <w:end w:w="120" w:type="dxa"/>
            </w:tcMar>
            <w:vAlign w:val="center"/>
          </w:tcPr>
          <w:p>
            <w:pPr>
              <w:spacing w:before="0" w:after="0" w:line="240" w:lineRule="auto"/>
              <w:jc w:val="right"/>
            </w:pPr>
            <w:r>
              <w:rPr>
                <w:rFonts w:ascii="Calibri" w:hAnsi="Calibri"/>
                <w:b/>
                <w:color w:val="172736"/>
                <w:sz w:val="16"/>
              </w:rPr>
              <w:t>$236,200</w:t>
            </w:r>
          </w:p>
        </w:tc>
      </w:tr>
      <w:tr>
        <w:tc>
          <w:tcPr>
            <w:tcW w:type="dxa" w:w="6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CR-1</w:t>
            </w:r>
          </w:p>
        </w:tc>
        <w:tc>
          <w:tcPr>
            <w:tcW w:type="dxa" w:w="526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Salvage and reuse credit</w:t>
            </w:r>
          </w:p>
        </w:tc>
        <w:tc>
          <w:tcPr>
            <w:tcW w:type="dxa" w:w="145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SEE BELOW</w:t>
            </w:r>
          </w:p>
        </w:tc>
        <w:tc>
          <w:tcPr>
            <w:tcW w:type="dxa" w:w="2000"/>
            <w:shd w:fill="F2F4F7"/>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($18,700)</w:t>
            </w:r>
          </w:p>
        </w:tc>
      </w:tr>
      <w:tr>
        <w:tc>
          <w:tcPr>
            <w:tcW w:type="dxa" w:w="6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CR-2</w:t>
            </w:r>
          </w:p>
        </w:tc>
        <w:tc>
          <w:tcPr>
            <w:tcW w:type="dxa" w:w="52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Avoided original-scope work credit</w:t>
            </w:r>
          </w:p>
        </w:tc>
        <w:tc>
          <w:tcPr>
            <w:tcW w:type="dxa" w:w="145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SEE BELOW</w:t>
            </w:r>
          </w:p>
        </w:tc>
        <w:tc>
          <w:tcPr>
            <w:tcW w:type="dxa" w:w="2000"/>
            <w:tcMar>
              <w:top w:w="80" w:type="dxa"/>
              <w:bottom w:w="80" w:type="dxa"/>
              <w:start w:w="120" w:type="dxa"/>
              <w:end w:w="120" w:type="dxa"/>
            </w:tcMar>
            <w:vAlign w:val="center"/>
          </w:tcPr>
          <w:p>
            <w:pPr>
              <w:spacing w:before="0" w:after="0" w:line="240" w:lineRule="auto"/>
              <w:jc w:val="right"/>
            </w:pPr>
            <w:r>
              <w:rPr>
                <w:rFonts w:ascii="Calibri" w:hAnsi="Calibri"/>
                <w:b w:val="0"/>
                <w:color w:val="172736"/>
                <w:sz w:val="16"/>
              </w:rPr>
              <w:t>($9,500)</w:t>
            </w:r>
          </w:p>
        </w:tc>
      </w:tr>
      <w:tr>
        <w:tc>
          <w:tcPr>
            <w:tcW w:type="dxa" w:w="65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r>
          </w:p>
        </w:tc>
        <w:tc>
          <w:tcPr>
            <w:tcW w:type="dxa" w:w="526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NET SUBCONTRACT QUOTATION</w:t>
            </w:r>
          </w:p>
        </w:tc>
        <w:tc>
          <w:tcPr>
            <w:tcW w:type="dxa" w:w="1450"/>
            <w:shd w:fill="E8EEF5"/>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r>
          </w:p>
        </w:tc>
        <w:tc>
          <w:tcPr>
            <w:tcW w:type="dxa" w:w="2000"/>
            <w:shd w:fill="E8EEF5"/>
            <w:tcMar>
              <w:top w:w="80" w:type="dxa"/>
              <w:bottom w:w="80" w:type="dxa"/>
              <w:start w:w="120" w:type="dxa"/>
              <w:end w:w="120" w:type="dxa"/>
            </w:tcMar>
            <w:vAlign w:val="center"/>
          </w:tcPr>
          <w:p>
            <w:pPr>
              <w:spacing w:before="0" w:after="0" w:line="240" w:lineRule="auto"/>
              <w:jc w:val="right"/>
            </w:pPr>
            <w:r>
              <w:rPr>
                <w:rFonts w:ascii="Calibri" w:hAnsi="Calibri"/>
                <w:b/>
                <w:color w:val="172736"/>
                <w:sz w:val="16"/>
              </w:rPr>
              <w:t>$208,000</w:t>
            </w:r>
          </w:p>
        </w:tc>
      </w:tr>
    </w:tbl>
    <w:p>
      <w:pPr>
        <w:pStyle w:val="Heading1"/>
        <w:keepNext/>
      </w:pPr>
      <w:r>
        <w:t>Segregated quantity and credit record</w:t>
      </w:r>
    </w:p>
    <w:tbl>
      <w:tblPr>
        <w:tblStyle w:val="TableGrid"/>
        <w:tblW w:type="dxa" w:w="9360"/>
        <w:jc w:val="left"/>
        <w:tblLayout w:type="fixed"/>
        <w:tblLook w:firstColumn="1" w:firstRow="1" w:lastColumn="0" w:lastRow="0" w:noHBand="0" w:noVBand="1" w:val="04A0"/>
        <w:tblInd w:w="120" w:type="dxa"/>
      </w:tblPr>
      <w:tblGrid>
        <w:gridCol w:w="2200"/>
        <w:gridCol w:w="7160"/>
      </w:tblGrid>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Affected installed work</w:t>
            </w:r>
          </w:p>
        </w:tc>
        <w:tc>
          <w:tcPr>
            <w:tcW w:type="dxa" w:w="71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560 LF canvas duct; 410 LF control conduit; 64 hangers; 8 diffusers</w:t>
            </w:r>
          </w:p>
        </w:tc>
      </w:tr>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Retained in place</w:t>
            </w:r>
          </w:p>
        </w:tc>
        <w:tc>
          <w:tcPr>
            <w:tcW w:type="dxa" w:w="71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All eastern equipment, main trunk, room branches, and utility-room work outside the conflict zone</w:t>
            </w:r>
          </w:p>
        </w:tc>
      </w:tr>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Salvaged for reuse</w:t>
            </w:r>
          </w:p>
        </w:tc>
        <w:tc>
          <w:tcPr>
            <w:tcW w:type="dxa" w:w="71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210 LF duct sections; 64 hangers; 8 diffusers; 310 LF conductors; reusable controls hardware</w:t>
            </w:r>
          </w:p>
        </w:tc>
      </w:tr>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Avoided work</w:t>
            </w:r>
          </w:p>
        </w:tc>
        <w:tc>
          <w:tcPr>
            <w:tcW w:type="dxa" w:w="71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Uninstalled western takeoffs and finish work deleted from the original straight-route sequence</w:t>
            </w:r>
          </w:p>
        </w:tc>
      </w:tr>
      <w:tr>
        <w:tc>
          <w:tcPr>
            <w:tcW w:type="dxa" w:w="22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6"/>
              </w:rPr>
              <w:t>Cost segregation</w:t>
            </w:r>
          </w:p>
        </w:tc>
        <w:tc>
          <w:tcPr>
            <w:tcW w:type="dxa" w:w="71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ZMS cost codes 27-041-R2-01 through -06; separate timecards, delivery tickets, and equipment logs</w:t>
            </w:r>
          </w:p>
        </w:tc>
      </w:tr>
    </w:tbl>
    <w:p>
      <w:pPr>
        <w:spacing w:before="0" w:after="40" w:line="259" w:lineRule="auto"/>
      </w:pPr>
      <w:r>
        <w:t>Price-book check: standard work elements were reconciled to the fictional localized UPG-FY27-SM-AK and the awarded SM-SABER-01 coefficients. Non-price-book coordination and integration were supported by the hours and quantities above.</w:t>
      </w:r>
    </w:p>
    <w:p>
      <w:r>
        <w:br w:type="page"/>
      </w:r>
    </w:p>
    <w:p>
      <w:pPr>
        <w:keepNext/>
        <w:spacing w:before="60" w:after="20"/>
      </w:pPr>
      <w:r>
        <w:rPr>
          <w:rFonts w:ascii="Calibri" w:hAnsi="Calibri"/>
          <w:b/>
          <w:color w:val="172736"/>
          <w:sz w:val="38"/>
        </w:rPr>
        <w:t>MITIGATION &amp; SCHEDULE</w:t>
      </w:r>
    </w:p>
    <w:p>
      <w:pPr>
        <w:keepNext/>
        <w:spacing w:before="0" w:after="140"/>
      </w:pPr>
      <w:r>
        <w:rPr>
          <w:rFonts w:ascii="Calibri" w:hAnsi="Calibri"/>
          <w:b/>
          <w:color w:val="606A74"/>
          <w:sz w:val="25"/>
        </w:rPr>
        <w:t>Contemporaneous record and 14-day critical-path fragnet</w:t>
      </w:r>
    </w:p>
    <w:p>
      <w:pPr>
        <w:pStyle w:val="Heading1"/>
        <w:keepNext/>
      </w:pPr>
      <w:r>
        <w:t>Mitigation actions</w:t>
      </w:r>
    </w:p>
    <w:tbl>
      <w:tblPr>
        <w:tblStyle w:val="TableGrid"/>
        <w:tblW w:type="dxa" w:w="9360"/>
        <w:jc w:val="left"/>
        <w:tblLayout w:type="fixed"/>
        <w:tblLook w:firstColumn="1" w:firstRow="1" w:lastColumn="0" w:lastRow="0" w:noHBand="0" w:noVBand="1" w:val="04A0"/>
        <w:tblInd w:w="120" w:type="dxa"/>
      </w:tblPr>
      <w:tblGrid>
        <w:gridCol w:w="1300"/>
        <w:gridCol w:w="8060"/>
      </w:tblGrid>
      <w:tr>
        <w:tc>
          <w:tcPr>
            <w:tcW w:type="dxa" w:w="1300"/>
            <w:shd w:fill="E8EEF5"/>
            <w:tcMar>
              <w:top w:w="80" w:type="dxa"/>
              <w:bottom w:w="80" w:type="dxa"/>
              <w:start w:w="120" w:type="dxa"/>
              <w:end w:w="120" w:type="dxa"/>
            </w:tcMar>
            <w:vAlign w:val="center"/>
          </w:tcPr>
          <w:p>
            <w:pPr>
              <w:spacing w:before="0" w:after="0" w:line="240" w:lineRule="auto"/>
              <w:jc w:val="center"/>
            </w:pPr>
            <w:r>
              <w:rPr>
                <w:rFonts w:ascii="Calibri" w:hAnsi="Calibri"/>
                <w:b/>
                <w:color w:val="172736"/>
                <w:sz w:val="17"/>
              </w:rPr>
              <w:t>3 May</w:t>
            </w:r>
          </w:p>
        </w:tc>
        <w:tc>
          <w:tcPr>
            <w:tcW w:type="dxa" w:w="80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Stopped only the western conflict-zone work; protected completed eastern and side-room work.</w:t>
            </w:r>
          </w:p>
        </w:tc>
      </w:tr>
      <w:tr>
        <w:tc>
          <w:tcPr>
            <w:tcW w:type="dxa" w:w="1300"/>
            <w:shd w:fill="E8EEF5"/>
            <w:tcMar>
              <w:top w:w="80" w:type="dxa"/>
              <w:bottom w:w="80" w:type="dxa"/>
              <w:start w:w="120" w:type="dxa"/>
              <w:end w:w="120" w:type="dxa"/>
            </w:tcMar>
            <w:vAlign w:val="center"/>
          </w:tcPr>
          <w:p>
            <w:pPr>
              <w:spacing w:before="0" w:after="0" w:line="240" w:lineRule="auto"/>
              <w:jc w:val="center"/>
            </w:pPr>
            <w:r>
              <w:rPr>
                <w:rFonts w:ascii="Calibri" w:hAnsi="Calibri"/>
                <w:b/>
                <w:color w:val="172736"/>
                <w:sz w:val="17"/>
              </w:rPr>
              <w:t>3-4 May</w:t>
            </w:r>
          </w:p>
        </w:tc>
        <w:tc>
          <w:tcPr>
            <w:tcW w:type="dxa" w:w="80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Field-verified a perimeter route and reused supports, diffusers, conductors, and accessible duct sections.</w:t>
            </w:r>
          </w:p>
        </w:tc>
      </w:tr>
      <w:tr>
        <w:tc>
          <w:tcPr>
            <w:tcW w:type="dxa" w:w="1300"/>
            <w:shd w:fill="E8EEF5"/>
            <w:tcMar>
              <w:top w:w="80" w:type="dxa"/>
              <w:bottom w:w="80" w:type="dxa"/>
              <w:start w:w="120" w:type="dxa"/>
              <w:end w:w="120" w:type="dxa"/>
            </w:tcMar>
            <w:vAlign w:val="center"/>
          </w:tcPr>
          <w:p>
            <w:pPr>
              <w:spacing w:before="0" w:after="0" w:line="240" w:lineRule="auto"/>
              <w:jc w:val="center"/>
            </w:pPr>
            <w:r>
              <w:rPr>
                <w:rFonts w:ascii="Calibri" w:hAnsi="Calibri"/>
                <w:b/>
                <w:color w:val="172736"/>
                <w:sz w:val="17"/>
              </w:rPr>
              <w:t>4 May</w:t>
            </w:r>
          </w:p>
        </w:tc>
        <w:tc>
          <w:tcPr>
            <w:tcW w:type="dxa" w:w="80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Reserved local lift equipment and combined demolition with fabrication to avoid a second mobilization.</w:t>
            </w:r>
          </w:p>
        </w:tc>
      </w:tr>
      <w:tr>
        <w:tc>
          <w:tcPr>
            <w:tcW w:type="dxa" w:w="1300"/>
            <w:shd w:fill="E8EEF5"/>
            <w:tcMar>
              <w:top w:w="80" w:type="dxa"/>
              <w:bottom w:w="80" w:type="dxa"/>
              <w:start w:w="120" w:type="dxa"/>
              <w:end w:w="120" w:type="dxa"/>
            </w:tcMar>
            <w:vAlign w:val="center"/>
          </w:tcPr>
          <w:p>
            <w:pPr>
              <w:spacing w:before="0" w:after="0" w:line="240" w:lineRule="auto"/>
              <w:jc w:val="center"/>
            </w:pPr>
            <w:r>
              <w:rPr>
                <w:rFonts w:ascii="Calibri" w:hAnsi="Calibri"/>
                <w:b/>
                <w:color w:val="172736"/>
                <w:sz w:val="17"/>
              </w:rPr>
              <w:t>5 May</w:t>
            </w:r>
          </w:p>
        </w:tc>
        <w:tc>
          <w:tcPr>
            <w:tcW w:type="dxa" w:w="80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Authorized expedited fabrication within the quoted price; avoided six additional calendar days.</w:t>
            </w:r>
          </w:p>
        </w:tc>
      </w:tr>
      <w:tr>
        <w:tc>
          <w:tcPr>
            <w:tcW w:type="dxa" w:w="1300"/>
            <w:shd w:fill="E8EEF5"/>
            <w:tcMar>
              <w:top w:w="80" w:type="dxa"/>
              <w:bottom w:w="80" w:type="dxa"/>
              <w:start w:w="120" w:type="dxa"/>
              <w:end w:w="120" w:type="dxa"/>
            </w:tcMar>
            <w:vAlign w:val="center"/>
          </w:tcPr>
          <w:p>
            <w:pPr>
              <w:spacing w:before="0" w:after="0" w:line="240" w:lineRule="auto"/>
              <w:jc w:val="center"/>
            </w:pPr>
            <w:r>
              <w:rPr>
                <w:rFonts w:ascii="Calibri" w:hAnsi="Calibri"/>
                <w:b/>
                <w:color w:val="172736"/>
                <w:sz w:val="17"/>
              </w:rPr>
              <w:t>Daily</w:t>
            </w:r>
          </w:p>
        </w:tc>
        <w:tc>
          <w:tcPr>
            <w:tcW w:type="dxa" w:w="80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Maintained separate R2 cost codes and resequenced unaffected closeout work where access permitted.</w:t>
            </w:r>
          </w:p>
        </w:tc>
      </w:tr>
    </w:tbl>
    <w:p>
      <w:pPr>
        <w:pStyle w:val="Heading1"/>
        <w:keepNext/>
      </w:pPr>
      <w:r>
        <w:t>Schedule fragnet</w:t>
      </w:r>
    </w:p>
    <w:tbl>
      <w:tblPr>
        <w:tblStyle w:val="TableGrid"/>
        <w:tblW w:type="dxa" w:w="9360"/>
        <w:jc w:val="left"/>
        <w:tblLayout w:type="fixed"/>
        <w:tblLook w:firstColumn="1" w:firstRow="1" w:lastColumn="0" w:lastRow="0" w:noHBand="0" w:noVBand="1" w:val="04A0"/>
        <w:tblInd w:w="120" w:type="dxa"/>
      </w:tblPr>
      <w:tblGrid>
        <w:gridCol w:w="900"/>
        <w:gridCol w:w="3100"/>
        <w:gridCol w:w="850"/>
        <w:gridCol w:w="1300"/>
        <w:gridCol w:w="3210"/>
      </w:tblGrid>
      <w:tr>
        <w:tc>
          <w:tcPr>
            <w:tcW w:type="dxa" w:w="90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ID</w:t>
            </w:r>
          </w:p>
        </w:tc>
        <w:tc>
          <w:tcPr>
            <w:tcW w:type="dxa" w:w="310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ACTIVITY</w:t>
            </w:r>
          </w:p>
        </w:tc>
        <w:tc>
          <w:tcPr>
            <w:tcW w:type="dxa" w:w="85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DUR.</w:t>
            </w:r>
          </w:p>
        </w:tc>
        <w:tc>
          <w:tcPr>
            <w:tcW w:type="dxa" w:w="130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CHANGE DAY</w:t>
            </w:r>
          </w:p>
        </w:tc>
        <w:tc>
          <w:tcPr>
            <w:tcW w:type="dxa" w:w="3210"/>
            <w:shd w:fill="2E74B5"/>
            <w:tcMar>
              <w:top w:w="80" w:type="dxa"/>
              <w:bottom w:w="80" w:type="dxa"/>
              <w:start w:w="120" w:type="dxa"/>
              <w:end w:w="120" w:type="dxa"/>
            </w:tcMar>
            <w:vAlign w:val="center"/>
          </w:tcPr>
          <w:p>
            <w:pPr>
              <w:spacing w:before="0" w:after="0" w:line="240" w:lineRule="auto"/>
              <w:jc w:val="center"/>
            </w:pPr>
            <w:r>
              <w:rPr>
                <w:rFonts w:ascii="Calibri" w:hAnsi="Calibri"/>
                <w:b/>
                <w:color w:val="FFFFFF"/>
                <w:sz w:val="16"/>
              </w:rPr>
              <w:t>LOGIC</w:t>
            </w:r>
          </w:p>
        </w:tc>
      </w:tr>
      <w:tr>
        <w:tc>
          <w:tcPr>
            <w:tcW w:type="dxa" w:w="9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R2-10</w:t>
            </w:r>
          </w:p>
        </w:tc>
        <w:tc>
          <w:tcPr>
            <w:tcW w:type="dxa" w:w="31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Field verification / final route</w:t>
            </w:r>
          </w:p>
        </w:tc>
        <w:tc>
          <w:tcPr>
            <w:tcW w:type="dxa" w:w="85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2</w:t>
            </w:r>
          </w:p>
        </w:tc>
        <w:tc>
          <w:tcPr>
            <w:tcW w:type="dxa" w:w="13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1–2</w:t>
            </w:r>
          </w:p>
        </w:tc>
        <w:tc>
          <w:tcPr>
            <w:tcW w:type="dxa" w:w="321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Critical start</w:t>
            </w:r>
          </w:p>
        </w:tc>
      </w:tr>
      <w:tr>
        <w:tc>
          <w:tcPr>
            <w:tcW w:type="dxa" w:w="9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R2-20</w:t>
            </w:r>
          </w:p>
        </w:tc>
        <w:tc>
          <w:tcPr>
            <w:tcW w:type="dxa" w:w="31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Fabricate replacement duct and controls</w:t>
            </w:r>
          </w:p>
        </w:tc>
        <w:tc>
          <w:tcPr>
            <w:tcW w:type="dxa" w:w="85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4</w:t>
            </w:r>
          </w:p>
        </w:tc>
        <w:tc>
          <w:tcPr>
            <w:tcW w:type="dxa" w:w="13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3–6</w:t>
            </w:r>
          </w:p>
        </w:tc>
        <w:tc>
          <w:tcPr>
            <w:tcW w:type="dxa" w:w="321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Follows R2-10</w:t>
            </w:r>
          </w:p>
        </w:tc>
      </w:tr>
      <w:tr>
        <w:tc>
          <w:tcPr>
            <w:tcW w:type="dxa" w:w="9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R2-25</w:t>
            </w:r>
          </w:p>
        </w:tc>
        <w:tc>
          <w:tcPr>
            <w:tcW w:type="dxa" w:w="31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Selective demolition and salvage</w:t>
            </w:r>
          </w:p>
        </w:tc>
        <w:tc>
          <w:tcPr>
            <w:tcW w:type="dxa" w:w="85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3</w:t>
            </w:r>
          </w:p>
        </w:tc>
        <w:tc>
          <w:tcPr>
            <w:tcW w:type="dxa" w:w="13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3–5</w:t>
            </w:r>
          </w:p>
        </w:tc>
        <w:tc>
          <w:tcPr>
            <w:tcW w:type="dxa" w:w="321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Concurrent with fabrication</w:t>
            </w:r>
          </w:p>
        </w:tc>
      </w:tr>
      <w:tr>
        <w:tc>
          <w:tcPr>
            <w:tcW w:type="dxa" w:w="9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R2-30</w:t>
            </w:r>
          </w:p>
        </w:tc>
        <w:tc>
          <w:tcPr>
            <w:tcW w:type="dxa" w:w="31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Install rerouted duct and conduit</w:t>
            </w:r>
          </w:p>
        </w:tc>
        <w:tc>
          <w:tcPr>
            <w:tcW w:type="dxa" w:w="85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5</w:t>
            </w:r>
          </w:p>
        </w:tc>
        <w:tc>
          <w:tcPr>
            <w:tcW w:type="dxa" w:w="13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7–11</w:t>
            </w:r>
          </w:p>
        </w:tc>
        <w:tc>
          <w:tcPr>
            <w:tcW w:type="dxa" w:w="321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Follows R2-20 and R2-25</w:t>
            </w:r>
          </w:p>
        </w:tc>
      </w:tr>
      <w:tr>
        <w:tc>
          <w:tcPr>
            <w:tcW w:type="dxa" w:w="9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R2-40</w:t>
            </w:r>
          </w:p>
        </w:tc>
        <w:tc>
          <w:tcPr>
            <w:tcW w:type="dxa" w:w="310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TAB, controls checkout, startup</w:t>
            </w:r>
          </w:p>
        </w:tc>
        <w:tc>
          <w:tcPr>
            <w:tcW w:type="dxa" w:w="85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2</w:t>
            </w:r>
          </w:p>
        </w:tc>
        <w:tc>
          <w:tcPr>
            <w:tcW w:type="dxa" w:w="1300"/>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12–13</w:t>
            </w:r>
          </w:p>
        </w:tc>
        <w:tc>
          <w:tcPr>
            <w:tcW w:type="dxa" w:w="3210"/>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Follows R2-30</w:t>
            </w:r>
          </w:p>
        </w:tc>
      </w:tr>
      <w:tr>
        <w:tc>
          <w:tcPr>
            <w:tcW w:type="dxa" w:w="9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R2-50</w:t>
            </w:r>
          </w:p>
        </w:tc>
        <w:tc>
          <w:tcPr>
            <w:tcW w:type="dxa" w:w="310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Closeout / release stage workfront</w:t>
            </w:r>
          </w:p>
        </w:tc>
        <w:tc>
          <w:tcPr>
            <w:tcW w:type="dxa" w:w="85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1</w:t>
            </w:r>
          </w:p>
        </w:tc>
        <w:tc>
          <w:tcPr>
            <w:tcW w:type="dxa" w:w="1300"/>
            <w:shd w:fill="F2F4F7"/>
            <w:tcMar>
              <w:top w:w="80" w:type="dxa"/>
              <w:bottom w:w="80" w:type="dxa"/>
              <w:start w:w="120" w:type="dxa"/>
              <w:end w:w="120" w:type="dxa"/>
            </w:tcMar>
            <w:vAlign w:val="center"/>
          </w:tcPr>
          <w:p>
            <w:pPr>
              <w:spacing w:before="0" w:after="0" w:line="240" w:lineRule="auto"/>
              <w:jc w:val="center"/>
            </w:pPr>
            <w:r>
              <w:rPr>
                <w:rFonts w:ascii="Calibri" w:hAnsi="Calibri"/>
                <w:b w:val="0"/>
                <w:color w:val="172736"/>
                <w:sz w:val="16"/>
              </w:rPr>
              <w:t>14</w:t>
            </w:r>
          </w:p>
        </w:tc>
        <w:tc>
          <w:tcPr>
            <w:tcW w:type="dxa" w:w="3210"/>
            <w:shd w:fill="F2F4F7"/>
            <w:tcMar>
              <w:top w:w="80" w:type="dxa"/>
              <w:bottom w:w="80" w:type="dxa"/>
              <w:start w:w="120" w:type="dxa"/>
              <w:end w:w="120" w:type="dxa"/>
            </w:tcMar>
            <w:vAlign w:val="center"/>
          </w:tcPr>
          <w:p>
            <w:pPr>
              <w:spacing w:before="0" w:after="0" w:line="240" w:lineRule="auto"/>
              <w:jc w:val="left"/>
            </w:pPr>
            <w:r>
              <w:rPr>
                <w:rFonts w:ascii="Calibri" w:hAnsi="Calibri"/>
                <w:b w:val="0"/>
                <w:color w:val="172736"/>
                <w:sz w:val="16"/>
              </w:rPr>
              <w:t>Follows R2-40</w:t>
            </w:r>
          </w:p>
        </w:tc>
      </w:tr>
    </w:tbl>
    <w:tbl>
      <w:tblPr>
        <w:tblStyle w:val="TableGrid"/>
        <w:tblW w:type="dxa" w:w="9360"/>
        <w:jc w:val="left"/>
        <w:tblLayout w:type="fixed"/>
        <w:tblLook w:firstColumn="1" w:firstRow="1" w:lastColumn="0" w:lastRow="0" w:noHBand="0" w:noVBand="1" w:val="04A0"/>
        <w:tblInd w:w="120" w:type="dxa"/>
      </w:tblPr>
      <w:tblGrid>
        <w:gridCol w:w="2000"/>
        <w:gridCol w:w="7360"/>
      </w:tblGrid>
      <w:tr>
        <w:tc>
          <w:tcPr>
            <w:tcW w:type="dxa" w:w="20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Controlling effect</w:t>
            </w:r>
          </w:p>
        </w:tc>
        <w:tc>
          <w:tcPr>
            <w:tcW w:type="dxa" w:w="7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Stage upper-frame work cannot begin until R2-50 releases the shared western workfront.</w:t>
            </w:r>
          </w:p>
        </w:tc>
      </w:tr>
      <w:tr>
        <w:tc>
          <w:tcPr>
            <w:tcW w:type="dxa" w:w="20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Net extension</w:t>
            </w:r>
          </w:p>
        </w:tc>
        <w:tc>
          <w:tcPr>
            <w:tcW w:type="dxa" w:w="7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14 calendar days; 15 September 2027 moves to 29 September 2027.</w:t>
            </w:r>
          </w:p>
        </w:tc>
      </w:tr>
      <w:tr>
        <w:tc>
          <w:tcPr>
            <w:tcW w:type="dxa" w:w="20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Concurrency</w:t>
            </w:r>
          </w:p>
        </w:tc>
        <w:tc>
          <w:tcPr>
            <w:tcW w:type="dxa" w:w="7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No overlapping contractor-caused critical delay appears in the 3-16 May schedule updates or daily reports.</w:t>
            </w:r>
          </w:p>
        </w:tc>
      </w:tr>
      <w:tr>
        <w:tc>
          <w:tcPr>
            <w:tcW w:type="dxa" w:w="2000"/>
            <w:shd w:fill="F2F4F7"/>
            <w:tcMar>
              <w:top w:w="80" w:type="dxa"/>
              <w:bottom w:w="80" w:type="dxa"/>
              <w:start w:w="120" w:type="dxa"/>
              <w:end w:w="120" w:type="dxa"/>
            </w:tcMar>
            <w:vAlign w:val="center"/>
          </w:tcPr>
          <w:p>
            <w:pPr>
              <w:spacing w:before="0" w:after="0" w:line="240" w:lineRule="auto"/>
              <w:jc w:val="left"/>
            </w:pPr>
            <w:r>
              <w:rPr>
                <w:rFonts w:ascii="Calibri" w:hAnsi="Calibri"/>
                <w:b/>
                <w:color w:val="172736"/>
                <w:sz w:val="17"/>
              </w:rPr>
              <w:t>Further mitigation</w:t>
            </w:r>
          </w:p>
        </w:tc>
        <w:tc>
          <w:tcPr>
            <w:tcW w:type="dxa" w:w="7360"/>
            <w:tcMar>
              <w:top w:w="80" w:type="dxa"/>
              <w:bottom w:w="80" w:type="dxa"/>
              <w:start w:w="120" w:type="dxa"/>
              <w:end w:w="120" w:type="dxa"/>
            </w:tcMar>
            <w:vAlign w:val="center"/>
          </w:tcPr>
          <w:p>
            <w:pPr>
              <w:spacing w:before="0" w:after="0" w:line="240" w:lineRule="auto"/>
              <w:jc w:val="left"/>
            </w:pPr>
            <w:r>
              <w:rPr>
                <w:rFonts w:ascii="Calibri" w:hAnsi="Calibri"/>
                <w:b w:val="0"/>
                <w:color w:val="172736"/>
                <w:sz w:val="17"/>
              </w:rPr>
              <w:t>Additional acceleration would require premium labor and would not reduce fabrication below the reserved four-day cycle.</w:t>
            </w:r>
          </w:p>
        </w:tc>
      </w:tr>
    </w:tbl>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FFF4D6"/>
            <w:tcMar>
              <w:top w:w="80" w:type="dxa"/>
              <w:bottom w:w="80" w:type="dxa"/>
              <w:start w:w="120" w:type="dxa"/>
              <w:end w:w="120" w:type="dxa"/>
            </w:tcMar>
            <w:vAlign w:val="center"/>
          </w:tcPr>
          <w:p>
            <w:pPr>
              <w:spacing w:before="0" w:after="0" w:line="252" w:lineRule="auto"/>
            </w:pPr>
            <w:r>
              <w:rPr>
                <w:rFonts w:ascii="Calibri" w:hAnsi="Calibri"/>
                <w:b/>
                <w:color w:val="172736"/>
                <w:sz w:val="17"/>
              </w:rPr>
              <w:t xml:space="preserve">CONTRACTOR STATEMENT. </w:t>
            </w:r>
            <w:r>
              <w:rPr>
                <w:rFonts w:ascii="Calibri" w:hAnsi="Calibri"/>
                <w:color w:val="172736"/>
                <w:sz w:val="17"/>
              </w:rPr>
              <w:t>To the best of our knowledge, this package contains only allocable, unreimbursed costs and time effects arising from the described HVAC relocation. Supporting timecards, invoices, delivery tickets, daily reports, and electronic schedule files are available for audit or fact-finding.</w:t>
            </w:r>
          </w:p>
        </w:tc>
      </w:tr>
    </w:tbl>
    <w:p>
      <w:pPr>
        <w:spacing w:before="140" w:after="0"/>
      </w:pPr>
      <w:r>
        <w:rPr>
          <w:rFonts w:ascii="Calibri" w:hAnsi="Calibri"/>
          <w:b/>
          <w:color w:val="172736"/>
          <w:sz w:val="20"/>
        </w:rPr>
        <w:t>/s/ Robin Hale</w:t>
      </w:r>
      <w:r>
        <w:br/>
      </w:r>
      <w:r>
        <w:rPr>
          <w:rFonts w:ascii="Calibri" w:hAnsi="Calibri"/>
          <w:color w:val="172736"/>
          <w:sz w:val="19"/>
        </w:rPr>
        <w:t>Project Manager, Outer Heaven Builders, LLC  |  7 May 2027</w:t>
      </w:r>
    </w:p>
    <w:p>
      <w:pPr>
        <w:sectPr>
          <w:headerReference w:type="default" r:id="rId9"/>
          <w:footerReference w:type="default" r:id="rId10"/>
          <w:pgSz w:w="12240" w:h="15840"/>
          <w:pgMar w:top="893" w:right="1440" w:bottom="893" w:left="1440" w:header="403" w:footer="403" w:gutter="0"/>
          <w:cols w:space="720"/>
          <w:docGrid w:linePitch="360"/>
        </w:sectPr>
      </w:pPr>
    </w:p>
    <w:p>
      <w:pPr>
        <w:spacing w:before="0" w:after="40"/>
        <w:jc w:val="center"/>
      </w:pPr>
      <w:r>
        <w:rPr>
          <w:rFonts w:ascii="Calibri" w:hAnsi="Calibri"/>
          <w:b/>
          <w:color w:val="172736"/>
          <w:sz w:val="23"/>
        </w:rPr>
        <w:t>APPENDIX A — REVISED HVAC ROUTE</w:t>
      </w:r>
    </w:p>
    <w:p>
      <w:pPr>
        <w:spacing w:before="0" w:after="0"/>
        <w:jc w:val="center"/>
      </w:pPr>
      <w:r>
        <w:drawing>
          <wp:inline xmlns:a="http://schemas.openxmlformats.org/drawingml/2006/main" xmlns:pic="http://schemas.openxmlformats.org/drawingml/2006/picture">
            <wp:extent cx="9281160" cy="6005456"/>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9281160" cy="6005456"/>
                    </a:xfrm>
                    <a:prstGeom prst="rect"/>
                  </pic:spPr>
                </pic:pic>
              </a:graphicData>
            </a:graphic>
          </wp:inline>
        </w:drawing>
      </w:r>
    </w:p>
    <w:sectPr w:rsidR="00FC693F" w:rsidRPr="0006063C" w:rsidSect="00034616">
      <w:pgSz w:w="15840" w:h="12240" w:orient="landscape"/>
      <w:pgMar w:top="403" w:right="504" w:bottom="461" w:left="504" w:header="173" w:footer="17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6"/>
      </w:rPr>
      <w:t xml:space="preserve">AB-02  |  TRAINING USE ONLY - ALL INFORMATION FICTIONAL  |  Page </w:t>
    </w:r>
    <w:r>
      <w:rPr>
        <w:rFonts w:ascii="Calibri" w:hAnsi="Calibri"/>
        <w:color w:val="606A74"/>
        <w:sz w:val="16"/>
      </w:rPr>
      <w:fldChar w:fldCharType="begin"/>
      <w:instrText xml:space="preserve">PAGE</w:instrText>
      <w:fldChar w:fldCharType="separate"/>
      <w:t>1</w:t>
      <w:fldChar w:fldCharType="end"/>
    </w:r>
    <w:r>
      <w:rPr>
        <w:rFonts w:ascii="Calibri" w:hAnsi="Calibri"/>
        <w:color w:val="606A74"/>
        <w:sz w:val="16"/>
      </w:rPr>
      <w:t xml:space="preserve"> of </w:t>
    </w:r>
    <w:r>
      <w:rPr>
        <w:rFonts w:ascii="Calibri" w:hAnsi="Calibri"/>
        <w:color w:val="606A74"/>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b/>
        <w:color w:val="606A74"/>
        <w:sz w:val="17"/>
      </w:rPr>
      <w:t>OUTER HEAVEN BUILDERS, LLC  |  HVAC RELOCATION SUPPORT PACKAGE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59" w:lineRule="auto"/>
    </w:pPr>
    <w:rPr>
      <w:rFonts w:ascii="Calibri" w:hAnsi="Calibri"/>
      <w:color w:val="1727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AB-02 Outer Heaven HVAC Relocation Support Package</dc:title>
  <dc:subject>Fictional construction-contract training handout</dc:subject>
  <dc:creator>Outer Heaven Builders, LLC (fictional)</dc:creator>
  <cp:keywords>training, construction, HVAC, equitable adjustment, cost proposal, schedule</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