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20"/>
      </w:pPr>
      <w:r>
        <w:rPr>
          <w:rFonts w:ascii="Calibri" w:hAnsi="Calibri"/>
          <w:b/>
          <w:color w:val="172736"/>
          <w:sz w:val="40"/>
        </w:rPr>
        <w:t>REQUEST FOR EQUITABLE ADJUSTMENT</w:t>
      </w:r>
    </w:p>
    <w:p>
      <w:pPr>
        <w:keepNext/>
        <w:spacing w:before="0" w:after="160"/>
      </w:pPr>
      <w:r>
        <w:rPr>
          <w:rFonts w:ascii="Calibri" w:hAnsi="Calibri"/>
          <w:b/>
          <w:color w:val="606A74"/>
          <w:sz w:val="25"/>
        </w:rPr>
        <w:t>Differing site condition — sealed eastern delivery opening</w:t>
      </w:r>
    </w:p>
    <w:p>
      <w:pPr>
        <w:spacing w:before="0" w:after="40" w:line="252" w:lineRule="auto"/>
      </w:pPr>
      <w:r>
        <w:rPr>
          <w:rFonts w:ascii="Calibri" w:hAnsi="Calibri"/>
          <w:b/>
          <w:color w:val="172736"/>
          <w:sz w:val="22"/>
        </w:rPr>
        <w:t xml:space="preserve">TO: </w:t>
      </w:r>
      <w:r>
        <w:rPr>
          <w:rFonts w:ascii="Calibri" w:hAnsi="Calibri"/>
          <w:b w:val="0"/>
          <w:color w:val="172736"/>
          <w:sz w:val="22"/>
        </w:rPr>
        <w:t>Contracting Officer, 713th Contracting Squadron (713 CONS)</w:t>
      </w:r>
    </w:p>
    <w:p>
      <w:pPr>
        <w:spacing w:before="0" w:after="40" w:line="252" w:lineRule="auto"/>
      </w:pPr>
      <w:r>
        <w:rPr>
          <w:rFonts w:ascii="Calibri" w:hAnsi="Calibri"/>
          <w:b/>
          <w:color w:val="172736"/>
          <w:sz w:val="22"/>
        </w:rPr>
        <w:t xml:space="preserve">FROM: </w:t>
      </w:r>
      <w:r>
        <w:rPr>
          <w:rFonts w:ascii="Calibri" w:hAnsi="Calibri"/>
          <w:b w:val="0"/>
          <w:color w:val="172736"/>
          <w:sz w:val="22"/>
        </w:rPr>
        <w:t>Outer Heaven Builders, LLC</w:t>
      </w:r>
    </w:p>
    <w:p>
      <w:pPr>
        <w:spacing w:before="0" w:after="40" w:line="252" w:lineRule="auto"/>
      </w:pPr>
      <w:r>
        <w:rPr>
          <w:rFonts w:ascii="Calibri" w:hAnsi="Calibri"/>
          <w:b/>
          <w:color w:val="172736"/>
          <w:sz w:val="22"/>
        </w:rPr>
        <w:t xml:space="preserve">DATE: </w:t>
      </w:r>
      <w:r>
        <w:rPr>
          <w:rFonts w:ascii="Calibri" w:hAnsi="Calibri"/>
          <w:b w:val="0"/>
          <w:color w:val="172736"/>
          <w:sz w:val="22"/>
        </w:rPr>
        <w:t>7 May 2027</w:t>
      </w:r>
    </w:p>
    <w:p>
      <w:pPr>
        <w:spacing w:before="0" w:after="40" w:line="252" w:lineRule="auto"/>
      </w:pPr>
      <w:r>
        <w:rPr>
          <w:rFonts w:ascii="Calibri" w:hAnsi="Calibri"/>
          <w:b/>
          <w:color w:val="172736"/>
          <w:sz w:val="22"/>
        </w:rPr>
        <w:t xml:space="preserve">CONTRACT: </w:t>
      </w:r>
      <w:r>
        <w:rPr>
          <w:rFonts w:ascii="Calibri" w:hAnsi="Calibri"/>
          <w:b w:val="0"/>
          <w:color w:val="172736"/>
          <w:sz w:val="22"/>
        </w:rPr>
        <w:t>SM-SABER-01, Task Order 27-041</w:t>
      </w:r>
    </w:p>
    <w:p>
      <w:pPr>
        <w:spacing w:before="0" w:after="40" w:line="252" w:lineRule="auto"/>
      </w:pPr>
      <w:r>
        <w:rPr>
          <w:rFonts w:ascii="Calibri" w:hAnsi="Calibri"/>
          <w:b/>
          <w:color w:val="172736"/>
          <w:sz w:val="22"/>
        </w:rPr>
        <w:t xml:space="preserve">SUBJECT: </w:t>
      </w:r>
      <w:r>
        <w:rPr>
          <w:rFonts w:ascii="Calibri" w:hAnsi="Calibri"/>
          <w:b/>
          <w:color w:val="172736"/>
          <w:sz w:val="22"/>
        </w:rPr>
        <w:t>$21,600 price adjustment - Recreation Center HVAC</w:t>
      </w:r>
    </w:p>
    <w:p>
      <w:pPr>
        <w:pStyle w:val="Heading1"/>
        <w:keepNext/>
      </w:pPr>
      <w:r>
        <w:t>Basis of request</w:t>
      </w:r>
    </w:p>
    <w:p>
      <w:pPr>
        <w:spacing w:before="0" w:after="120" w:line="252" w:lineRule="auto"/>
        <w:jc w:val="left"/>
      </w:pPr>
      <w:r>
        <w:t>Outer Heaven Builders, LLC requests a $21,600 price increase under FAR 52.236-2, Differing Site Conditions. During scheduled delivery of the prefabricated air-handling unit, Zanzibar Mechanical and Controls, LLC found that the vehicle-sized eastern opening shown on the Government-furnished Recreation Center floor plan was sealed by masonry. Outer Heaven characterizes that condition as a latent physical condition materially different from the 12-foot bay indicated in the contract drawing.</w:t>
      </w:r>
    </w:p>
    <w:p>
      <w:pPr>
        <w:spacing w:before="0" w:after="120" w:line="252" w:lineRule="auto"/>
        <w:jc w:val="left"/>
      </w:pPr>
      <w:r>
        <w:t>Outer Heaven gave the Contracting Officer prompt written notice on 3 May 2027 before the wall was disturbed or delivery mitigation began, preserved the condition for Government inspection, and requested direction. To protect the equipment and maintain the required completion date, Zanzibar separated the unit into transportable assemblies, moved them through personnel doors, and reassembled, connected, and retested the unit inside. This effort was not included in the awarded price. Outer Heaven asserts that the timely noticed condition and resulting mitigation entitle it to an equitable adjustment.</w:t>
      </w:r>
    </w:p>
    <w:p>
      <w:pPr>
        <w:pStyle w:val="Heading1"/>
        <w:keepNext/>
      </w:pPr>
      <w:r>
        <w:t>Cost summary</w:t>
      </w:r>
    </w:p>
    <w:tbl>
      <w:tblPr>
        <w:tblStyle w:val="TableGrid"/>
        <w:tblW w:type="dxa" w:w="9360"/>
        <w:jc w:val="left"/>
        <w:tblLayout w:type="fixed"/>
        <w:tblLook w:firstColumn="1" w:firstRow="1" w:lastColumn="0" w:lastRow="0" w:noHBand="0" w:noVBand="1" w:val="04A0"/>
        <w:tblInd w:w="120" w:type="dxa"/>
      </w:tblPr>
      <w:tblGrid>
        <w:gridCol w:w="2200"/>
        <w:gridCol w:w="5360"/>
        <w:gridCol w:w="1800"/>
      </w:tblGrid>
      <w:tr>
        <w:tc>
          <w:tcPr>
            <w:tcW w:type="dxa" w:w="220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9"/>
              </w:rPr>
              <w:t>Cost element</w:t>
            </w:r>
          </w:p>
        </w:tc>
        <w:tc>
          <w:tcPr>
            <w:tcW w:type="dxa" w:w="536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9"/>
              </w:rPr>
              <w:t>Contractor's stated basis</w:t>
            </w:r>
          </w:p>
        </w:tc>
        <w:tc>
          <w:tcPr>
            <w:tcW w:type="dxa" w:w="1800"/>
            <w:shd w:fill="F2F4F7"/>
            <w:tcMar>
              <w:top w:w="80" w:type="dxa"/>
              <w:bottom w:w="80" w:type="dxa"/>
              <w:start w:w="120" w:type="dxa"/>
              <w:end w:w="120" w:type="dxa"/>
            </w:tcMar>
            <w:vAlign w:val="center"/>
          </w:tcPr>
          <w:p>
            <w:pPr>
              <w:spacing w:before="0" w:after="0" w:line="240" w:lineRule="auto"/>
              <w:jc w:val="right"/>
            </w:pPr>
            <w:r>
              <w:rPr>
                <w:rFonts w:ascii="Calibri" w:hAnsi="Calibri"/>
                <w:b/>
                <w:color w:val="172736"/>
                <w:sz w:val="19"/>
              </w:rPr>
              <w:t>Amount</w:t>
            </w:r>
          </w:p>
        </w:tc>
      </w:tr>
      <w:tr>
        <w:tc>
          <w:tcPr>
            <w:tcW w:type="dxa" w:w="2200"/>
            <w:tcMar>
              <w:top w:w="80" w:type="dxa"/>
              <w:bottom w:w="80" w:type="dxa"/>
              <w:start w:w="120" w:type="dxa"/>
              <w:end w:w="120" w:type="dxa"/>
            </w:tcMar>
            <w:vAlign w:val="center"/>
          </w:tcPr>
          <w:p>
            <w:pPr>
              <w:spacing w:before="0" w:after="0" w:line="240" w:lineRule="auto"/>
              <w:jc w:val="left"/>
            </w:pPr>
            <w:r>
              <w:rPr>
                <w:rFonts w:ascii="Calibri" w:hAnsi="Calibri"/>
                <w:b/>
                <w:color w:val="172736"/>
                <w:sz w:val="18"/>
              </w:rPr>
              <w:t>Zanzibar labor</w:t>
            </w:r>
          </w:p>
        </w:tc>
        <w:tc>
          <w:tcPr>
            <w:tcW w:type="dxa" w:w="53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8"/>
              </w:rPr>
              <w:t>Foreman, HVAC mechanics, and controls technician for disassembly, interior movement, reassembly, and testing</w:t>
            </w:r>
          </w:p>
        </w:tc>
        <w:tc>
          <w:tcPr>
            <w:tcW w:type="dxa" w:w="1800"/>
            <w:tcMar>
              <w:top w:w="80" w:type="dxa"/>
              <w:bottom w:w="80" w:type="dxa"/>
              <w:start w:w="120" w:type="dxa"/>
              <w:end w:w="120" w:type="dxa"/>
            </w:tcMar>
            <w:vAlign w:val="center"/>
          </w:tcPr>
          <w:p>
            <w:pPr>
              <w:spacing w:before="0" w:after="0" w:line="240" w:lineRule="auto"/>
              <w:jc w:val="right"/>
            </w:pPr>
            <w:r>
              <w:rPr>
                <w:rFonts w:ascii="Calibri" w:hAnsi="Calibri"/>
                <w:b w:val="0"/>
                <w:color w:val="172736"/>
                <w:sz w:val="18"/>
              </w:rPr>
              <w:t>$15,420</w:t>
            </w:r>
          </w:p>
        </w:tc>
      </w:tr>
      <w:tr>
        <w:tc>
          <w:tcPr>
            <w:tcW w:type="dxa" w:w="2200"/>
            <w:tcMar>
              <w:top w:w="80" w:type="dxa"/>
              <w:bottom w:w="80" w:type="dxa"/>
              <w:start w:w="120" w:type="dxa"/>
              <w:end w:w="120" w:type="dxa"/>
            </w:tcMar>
            <w:vAlign w:val="center"/>
          </w:tcPr>
          <w:p>
            <w:pPr>
              <w:spacing w:before="0" w:after="0" w:line="240" w:lineRule="auto"/>
              <w:jc w:val="left"/>
            </w:pPr>
            <w:r>
              <w:rPr>
                <w:rFonts w:ascii="Calibri" w:hAnsi="Calibri"/>
                <w:b/>
                <w:color w:val="172736"/>
                <w:sz w:val="18"/>
              </w:rPr>
              <w:t>Equipment / delivery</w:t>
            </w:r>
          </w:p>
        </w:tc>
        <w:tc>
          <w:tcPr>
            <w:tcW w:type="dxa" w:w="53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8"/>
              </w:rPr>
              <w:t>Interior handling equipment, rigging, and protected movement</w:t>
            </w:r>
          </w:p>
        </w:tc>
        <w:tc>
          <w:tcPr>
            <w:tcW w:type="dxa" w:w="1800"/>
            <w:tcMar>
              <w:top w:w="80" w:type="dxa"/>
              <w:bottom w:w="80" w:type="dxa"/>
              <w:start w:w="120" w:type="dxa"/>
              <w:end w:w="120" w:type="dxa"/>
            </w:tcMar>
            <w:vAlign w:val="center"/>
          </w:tcPr>
          <w:p>
            <w:pPr>
              <w:spacing w:before="0" w:after="0" w:line="240" w:lineRule="auto"/>
              <w:jc w:val="right"/>
            </w:pPr>
            <w:r>
              <w:rPr>
                <w:rFonts w:ascii="Calibri" w:hAnsi="Calibri"/>
                <w:b w:val="0"/>
                <w:color w:val="172736"/>
                <w:sz w:val="18"/>
              </w:rPr>
              <w:t>$2,180</w:t>
            </w:r>
          </w:p>
        </w:tc>
      </w:tr>
      <w:tr>
        <w:tc>
          <w:tcPr>
            <w:tcW w:type="dxa" w:w="2200"/>
            <w:tcMar>
              <w:top w:w="80" w:type="dxa"/>
              <w:bottom w:w="80" w:type="dxa"/>
              <w:start w:w="120" w:type="dxa"/>
              <w:end w:w="120" w:type="dxa"/>
            </w:tcMar>
            <w:vAlign w:val="center"/>
          </w:tcPr>
          <w:p>
            <w:pPr>
              <w:spacing w:before="0" w:after="0" w:line="240" w:lineRule="auto"/>
              <w:jc w:val="left"/>
            </w:pPr>
            <w:r>
              <w:rPr>
                <w:rFonts w:ascii="Calibri" w:hAnsi="Calibri"/>
                <w:b/>
                <w:color w:val="172736"/>
                <w:sz w:val="18"/>
              </w:rPr>
              <w:t>Materials</w:t>
            </w:r>
          </w:p>
        </w:tc>
        <w:tc>
          <w:tcPr>
            <w:tcW w:type="dxa" w:w="53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8"/>
              </w:rPr>
              <w:t>Gaskets, sealants, fasteners, wrapping, and protection consumables</w:t>
            </w:r>
          </w:p>
        </w:tc>
        <w:tc>
          <w:tcPr>
            <w:tcW w:type="dxa" w:w="1800"/>
            <w:tcMar>
              <w:top w:w="80" w:type="dxa"/>
              <w:bottom w:w="80" w:type="dxa"/>
              <w:start w:w="120" w:type="dxa"/>
              <w:end w:w="120" w:type="dxa"/>
            </w:tcMar>
            <w:vAlign w:val="center"/>
          </w:tcPr>
          <w:p>
            <w:pPr>
              <w:spacing w:before="0" w:after="0" w:line="240" w:lineRule="auto"/>
              <w:jc w:val="right"/>
            </w:pPr>
            <w:r>
              <w:rPr>
                <w:rFonts w:ascii="Calibri" w:hAnsi="Calibri"/>
                <w:b w:val="0"/>
                <w:color w:val="172736"/>
                <w:sz w:val="18"/>
              </w:rPr>
              <w:t>$720</w:t>
            </w:r>
          </w:p>
        </w:tc>
      </w:tr>
      <w:tr>
        <w:tc>
          <w:tcPr>
            <w:tcW w:type="dxa" w:w="2200"/>
            <w:tcMar>
              <w:top w:w="80" w:type="dxa"/>
              <w:bottom w:w="80" w:type="dxa"/>
              <w:start w:w="120" w:type="dxa"/>
              <w:end w:w="120" w:type="dxa"/>
            </w:tcMar>
            <w:vAlign w:val="center"/>
          </w:tcPr>
          <w:p>
            <w:pPr>
              <w:spacing w:before="0" w:after="0" w:line="240" w:lineRule="auto"/>
              <w:jc w:val="left"/>
            </w:pPr>
            <w:r>
              <w:rPr>
                <w:rFonts w:ascii="Calibri" w:hAnsi="Calibri"/>
                <w:b/>
                <w:color w:val="172736"/>
                <w:sz w:val="18"/>
              </w:rPr>
              <w:t>Subcontractor O&amp;P</w:t>
            </w:r>
          </w:p>
        </w:tc>
        <w:tc>
          <w:tcPr>
            <w:tcW w:type="dxa" w:w="53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8"/>
              </w:rPr>
              <w:t>Applied to Zanzibar's added direct work</w:t>
            </w:r>
          </w:p>
        </w:tc>
        <w:tc>
          <w:tcPr>
            <w:tcW w:type="dxa" w:w="1800"/>
            <w:tcMar>
              <w:top w:w="80" w:type="dxa"/>
              <w:bottom w:w="80" w:type="dxa"/>
              <w:start w:w="120" w:type="dxa"/>
              <w:end w:w="120" w:type="dxa"/>
            </w:tcMar>
            <w:vAlign w:val="center"/>
          </w:tcPr>
          <w:p>
            <w:pPr>
              <w:spacing w:before="0" w:after="0" w:line="240" w:lineRule="auto"/>
              <w:jc w:val="right"/>
            </w:pPr>
            <w:r>
              <w:rPr>
                <w:rFonts w:ascii="Calibri" w:hAnsi="Calibri"/>
                <w:b w:val="0"/>
                <w:color w:val="172736"/>
                <w:sz w:val="18"/>
              </w:rPr>
              <w:t>$1,280</w:t>
            </w:r>
          </w:p>
        </w:tc>
      </w:tr>
      <w:tr>
        <w:tc>
          <w:tcPr>
            <w:tcW w:type="dxa" w:w="2200"/>
            <w:tcMar>
              <w:top w:w="80" w:type="dxa"/>
              <w:bottom w:w="80" w:type="dxa"/>
              <w:start w:w="120" w:type="dxa"/>
              <w:end w:w="120" w:type="dxa"/>
            </w:tcMar>
            <w:vAlign w:val="center"/>
          </w:tcPr>
          <w:p>
            <w:pPr>
              <w:spacing w:before="0" w:after="0" w:line="240" w:lineRule="auto"/>
              <w:jc w:val="left"/>
            </w:pPr>
            <w:r>
              <w:rPr>
                <w:rFonts w:ascii="Calibri" w:hAnsi="Calibri"/>
                <w:b/>
                <w:color w:val="172736"/>
                <w:sz w:val="18"/>
              </w:rPr>
              <w:t>Prime field support</w:t>
            </w:r>
          </w:p>
        </w:tc>
        <w:tc>
          <w:tcPr>
            <w:tcW w:type="dxa" w:w="53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8"/>
              </w:rPr>
              <w:t>Outer Heaven field coordination and supervision</w:t>
            </w:r>
          </w:p>
        </w:tc>
        <w:tc>
          <w:tcPr>
            <w:tcW w:type="dxa" w:w="1800"/>
            <w:tcMar>
              <w:top w:w="80" w:type="dxa"/>
              <w:bottom w:w="80" w:type="dxa"/>
              <w:start w:w="120" w:type="dxa"/>
              <w:end w:w="120" w:type="dxa"/>
            </w:tcMar>
            <w:vAlign w:val="center"/>
          </w:tcPr>
          <w:p>
            <w:pPr>
              <w:spacing w:before="0" w:after="0" w:line="240" w:lineRule="auto"/>
              <w:jc w:val="right"/>
            </w:pPr>
            <w:r>
              <w:rPr>
                <w:rFonts w:ascii="Calibri" w:hAnsi="Calibri"/>
                <w:b w:val="0"/>
                <w:color w:val="172736"/>
                <w:sz w:val="18"/>
              </w:rPr>
              <w:t>$900</w:t>
            </w:r>
          </w:p>
        </w:tc>
      </w:tr>
      <w:tr>
        <w:tc>
          <w:tcPr>
            <w:tcW w:type="dxa" w:w="2200"/>
            <w:tcMar>
              <w:top w:w="80" w:type="dxa"/>
              <w:bottom w:w="80" w:type="dxa"/>
              <w:start w:w="120" w:type="dxa"/>
              <w:end w:w="120" w:type="dxa"/>
            </w:tcMar>
            <w:vAlign w:val="center"/>
          </w:tcPr>
          <w:p>
            <w:pPr>
              <w:spacing w:before="0" w:after="0" w:line="240" w:lineRule="auto"/>
              <w:jc w:val="left"/>
            </w:pPr>
            <w:r>
              <w:rPr>
                <w:rFonts w:ascii="Calibri" w:hAnsi="Calibri"/>
                <w:b/>
                <w:color w:val="172736"/>
                <w:sz w:val="18"/>
              </w:rPr>
              <w:t>Prime O&amp;P</w:t>
            </w:r>
          </w:p>
        </w:tc>
        <w:tc>
          <w:tcPr>
            <w:tcW w:type="dxa" w:w="53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8"/>
              </w:rPr>
              <w:t>Applied to the added subcontracted work</w:t>
            </w:r>
          </w:p>
        </w:tc>
        <w:tc>
          <w:tcPr>
            <w:tcW w:type="dxa" w:w="1800"/>
            <w:tcMar>
              <w:top w:w="80" w:type="dxa"/>
              <w:bottom w:w="80" w:type="dxa"/>
              <w:start w:w="120" w:type="dxa"/>
              <w:end w:w="120" w:type="dxa"/>
            </w:tcMar>
            <w:vAlign w:val="center"/>
          </w:tcPr>
          <w:p>
            <w:pPr>
              <w:spacing w:before="0" w:after="0" w:line="240" w:lineRule="auto"/>
              <w:jc w:val="right"/>
            </w:pPr>
            <w:r>
              <w:rPr>
                <w:rFonts w:ascii="Calibri" w:hAnsi="Calibri"/>
                <w:b w:val="0"/>
                <w:color w:val="172736"/>
                <w:sz w:val="18"/>
              </w:rPr>
              <w:t>$1,100</w:t>
            </w:r>
          </w:p>
        </w:tc>
      </w:tr>
      <w:tr>
        <w:tc>
          <w:tcPr>
            <w:tcW w:type="dxa" w:w="2200"/>
            <w:shd w:fill="F2F4F7"/>
            <w:tcMar>
              <w:top w:w="80" w:type="dxa"/>
              <w:bottom w:w="80" w:type="dxa"/>
              <w:start w:w="120" w:type="dxa"/>
              <w:end w:w="120" w:type="dxa"/>
            </w:tcMar>
            <w:vAlign w:val="center"/>
          </w:tcPr>
          <w:p/>
        </w:tc>
        <w:tc>
          <w:tcPr>
            <w:tcW w:type="dxa" w:w="5360"/>
            <w:shd w:fill="F2F4F7"/>
            <w:tcMar>
              <w:top w:w="80" w:type="dxa"/>
              <w:bottom w:w="80" w:type="dxa"/>
              <w:start w:w="120" w:type="dxa"/>
              <w:end w:w="120" w:type="dxa"/>
            </w:tcMar>
            <w:vAlign w:val="center"/>
          </w:tcPr>
          <w:p>
            <w:pPr>
              <w:spacing w:before="0" w:after="0"/>
              <w:jc w:val="right"/>
            </w:pPr>
            <w:r>
              <w:rPr>
                <w:rFonts w:ascii="Calibri" w:hAnsi="Calibri"/>
                <w:b/>
                <w:color w:val="172736"/>
                <w:sz w:val="19"/>
              </w:rPr>
              <w:t>TOTAL REQUESTED</w:t>
            </w:r>
          </w:p>
        </w:tc>
        <w:tc>
          <w:tcPr>
            <w:tcW w:type="dxa" w:w="1800"/>
            <w:shd w:fill="F2F4F7"/>
            <w:tcMar>
              <w:top w:w="80" w:type="dxa"/>
              <w:bottom w:w="80" w:type="dxa"/>
              <w:start w:w="120" w:type="dxa"/>
              <w:end w:w="120" w:type="dxa"/>
            </w:tcMar>
            <w:vAlign w:val="center"/>
          </w:tcPr>
          <w:p>
            <w:pPr>
              <w:spacing w:before="0" w:after="0"/>
              <w:jc w:val="right"/>
            </w:pPr>
            <w:r>
              <w:rPr>
                <w:rFonts w:ascii="Calibri" w:hAnsi="Calibri"/>
                <w:b/>
                <w:color w:val="172736"/>
                <w:sz w:val="19"/>
              </w:rPr>
              <w:t>$21,600</w:t>
            </w:r>
          </w:p>
        </w:tc>
      </w:tr>
    </w:tbl>
    <w:p>
      <w:pPr>
        <w:spacing w:before="80" w:after="0"/>
      </w:pPr>
      <w:r>
        <w:rPr>
          <w:rFonts w:ascii="Calibri" w:hAnsi="Calibri"/>
          <w:i/>
          <w:color w:val="606A74"/>
          <w:sz w:val="18"/>
        </w:rPr>
        <w:t>Supporting payroll, equipment, and subcontractor records are available upon request.</w:t>
      </w:r>
    </w:p>
    <w:p>
      <w:pPr>
        <w:pStyle w:val="Heading1"/>
        <w:keepNext/>
      </w:pPr>
      <w:r>
        <w:t>Schedule mitigation</w:t>
      </w:r>
    </w:p>
    <w:p>
      <w:pPr>
        <w:spacing w:before="0" w:after="80" w:line="252" w:lineRule="auto"/>
        <w:jc w:val="left"/>
      </w:pPr>
      <w:r>
        <w:t>The delivery and setting activity was on the controlling mechanical sequence. By beginning protected disassembly and interior movement after its written notice, Outer Heaven states that it preserved the 15 September 2027 completion date. No time extension is requested.</w:t>
      </w:r>
    </w:p>
    <w:p>
      <w:pPr>
        <w:spacing w:before="100" w:after="80" w:line="264" w:lineRule="auto"/>
      </w:pPr>
      <w:r>
        <w:rPr>
          <w:rFonts w:ascii="Calibri" w:hAnsi="Calibri"/>
          <w:b/>
          <w:color w:val="2E74B5"/>
          <w:sz w:val="22"/>
        </w:rPr>
        <w:t xml:space="preserve">REQUESTED ACTION: </w:t>
      </w:r>
      <w:r>
        <w:rPr>
          <w:rFonts w:ascii="Calibri" w:hAnsi="Calibri"/>
          <w:b/>
          <w:color w:val="172736"/>
          <w:sz w:val="22"/>
        </w:rPr>
        <w:t>Increase the task-order price by $21,600. The contractual completion date remains unchanged.</w:t>
      </w:r>
    </w:p>
    <w:p>
      <w:pPr>
        <w:spacing w:before="0" w:after="80" w:line="252" w:lineRule="auto"/>
        <w:jc w:val="left"/>
      </w:pPr>
      <w:r>
        <w:t>This is an REA, not a claim or request for a contracting officer's final decision.</w:t>
      </w:r>
    </w:p>
    <w:p>
      <w:pPr>
        <w:spacing w:before="80" w:after="0"/>
      </w:pPr>
      <w:r>
        <w:rPr>
          <w:rFonts w:ascii="Calibri" w:hAnsi="Calibri"/>
          <w:b/>
          <w:color w:val="172736"/>
          <w:sz w:val="22"/>
        </w:rPr>
        <w:t>/s/ Robin Hale</w:t>
      </w:r>
      <w:r>
        <w:br/>
      </w:r>
      <w:r>
        <w:rPr>
          <w:rFonts w:ascii="Calibri" w:hAnsi="Calibri"/>
          <w:color w:val="172736"/>
          <w:sz w:val="21"/>
        </w:rPr>
        <w:t>Project Manager, Outer Heaven Builders, LLC</w:t>
      </w:r>
    </w:p>
    <w:sectPr w:rsidR="00FC693F" w:rsidRPr="0006063C" w:rsidSect="00034616">
      <w:headerReference w:type="default" r:id="rId9"/>
      <w:footerReference w:type="default" r:id="rId10"/>
      <w:pgSz w:w="12240" w:h="15840"/>
      <w:pgMar w:top="835" w:right="1440" w:bottom="835" w:left="1440" w:header="389" w:footer="38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6"/>
      </w:rPr>
      <w:t>AG-01  |  TRAINING USE ONLY - ALL INFORMATION FICTIONAL  |  Page 1 of 1</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606A74"/>
        <w:sz w:val="17"/>
      </w:rPr>
      <w:t>OUTER HEAVEN BUILDERS, LLC  |  REQUEST FOR EQUITABLE ADJUSTMENT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52" w:lineRule="auto"/>
    </w:pPr>
    <w:rPr>
      <w:rFonts w:ascii="Calibri" w:hAnsi="Calibri"/>
      <w:color w:val="17273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Calibri" w:hAnsi="Calibri"/>
      <w:b/>
      <w:bCs/>
      <w:color w:val="2E74B5"/>
      <w:sz w:val="30"/>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AG-01 Outer Heaven Differing-Site-Condition Request for Equitable Adjustment</dc:title>
  <dc:subject>Fictional construction-contract training handout</dc:subject>
  <dc:creator>Outer Heaven Builders, LLC (fictional)</dc:creator>
  <cp:keywords>training, construction, REA, equitable adjustment, differing site conditions</cp:keywords>
  <dc:description>Training use only. All names, places, values, and requirements are fictional.</dc:description>
  <cp:lastModifiedBy/>
  <cp:revision>1</cp:revision>
  <dcterms:created xsi:type="dcterms:W3CDTF">2013-12-23T23:15:00Z</dcterms:created>
  <dcterms:modified xsi:type="dcterms:W3CDTF">2013-12-23T23:15:00Z</dcterms:modified>
  <cp:category/>
</cp:coreProperties>
</file>