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20"/>
      </w:pPr>
      <w:r>
        <w:rPr>
          <w:rFonts w:ascii="Calibri" w:hAnsi="Calibri"/>
          <w:b/>
          <w:color w:val="2E74B5"/>
          <w:sz w:val="18"/>
        </w:rPr>
        <w:t>AWARD DECISION COPY | FY27</w:t>
      </w:r>
    </w:p>
    <w:p>
      <w:pPr>
        <w:keepNext/>
        <w:spacing w:before="0" w:after="20"/>
      </w:pPr>
      <w:r>
        <w:rPr>
          <w:rFonts w:ascii="Calibri" w:hAnsi="Calibri"/>
          <w:b/>
          <w:color w:val="172736"/>
          <w:sz w:val="38"/>
        </w:rPr>
        <w:t>PROPOSED SABER TASK ORDER AWARD SUMMARY</w:t>
      </w:r>
    </w:p>
    <w:p>
      <w:pPr>
        <w:keepNext/>
        <w:spacing w:before="0" w:after="160"/>
      </w:pPr>
      <w:r>
        <w:rPr>
          <w:rFonts w:ascii="Calibri" w:hAnsi="Calibri"/>
          <w:b/>
          <w:color w:val="606A74"/>
          <w:sz w:val="25"/>
        </w:rPr>
        <w:t>Runway 10/28 approach-light restoration</w:t>
      </w:r>
    </w:p>
    <w:tbl>
      <w:tblPr>
        <w:tblStyle w:val="TableGrid"/>
        <w:tblW w:type="dxa" w:w="9360"/>
        <w:jc w:val="left"/>
        <w:tblLayout w:type="fixed"/>
        <w:tblLook w:firstColumn="1" w:firstRow="1" w:lastColumn="0" w:lastRow="0" w:noHBand="0" w:noVBand="1" w:val="04A0"/>
        <w:tblInd w:w="120" w:type="dxa"/>
      </w:tblPr>
      <w:tblGrid>
        <w:gridCol w:w="2700"/>
        <w:gridCol w:w="6660"/>
      </w:tblGrid>
      <w:tr>
        <w:tc>
          <w:tcPr>
            <w:tcW w:type="dxa" w:w="2700"/>
            <w:shd w:fill="F2F4F7"/>
            <w:tcMar>
              <w:top w:w="80" w:type="dxa"/>
              <w:bottom w:w="80" w:type="dxa"/>
              <w:start w:w="120" w:type="dxa"/>
              <w:end w:w="120" w:type="dxa"/>
            </w:tcMar>
            <w:vAlign w:val="center"/>
          </w:tcPr>
          <w:p>
            <w:pPr>
              <w:spacing w:before="0" w:after="0" w:line="240" w:lineRule="auto"/>
            </w:pPr>
            <w:r>
              <w:rPr>
                <w:rFonts w:ascii="Calibri" w:hAnsi="Calibri"/>
                <w:b/>
                <w:color w:val="172736"/>
                <w:sz w:val="18"/>
              </w:rPr>
              <w:t>Requirement</w:t>
            </w:r>
          </w:p>
        </w:tc>
        <w:tc>
          <w:tcPr>
            <w:tcW w:type="dxa" w:w="6660"/>
            <w:tcMar>
              <w:top w:w="80" w:type="dxa"/>
              <w:bottom w:w="80" w:type="dxa"/>
              <w:start w:w="120" w:type="dxa"/>
              <w:end w:w="120" w:type="dxa"/>
            </w:tcMar>
            <w:vAlign w:val="center"/>
          </w:tcPr>
          <w:p>
            <w:pPr>
              <w:spacing w:before="0" w:after="0" w:line="240" w:lineRule="auto"/>
            </w:pPr>
            <w:r>
              <w:rPr>
                <w:rFonts w:ascii="Calibri" w:hAnsi="Calibri"/>
                <w:b w:val="0"/>
                <w:color w:val="172736"/>
                <w:sz w:val="18"/>
              </w:rPr>
              <w:t>AF-27-014 | Runway 10/28 approach-light restoration</w:t>
            </w:r>
          </w:p>
        </w:tc>
      </w:tr>
      <w:tr>
        <w:tc>
          <w:tcPr>
            <w:tcW w:type="dxa" w:w="2700"/>
            <w:shd w:fill="F2F4F7"/>
            <w:tcMar>
              <w:top w:w="80" w:type="dxa"/>
              <w:bottom w:w="80" w:type="dxa"/>
              <w:start w:w="120" w:type="dxa"/>
              <w:end w:w="120" w:type="dxa"/>
            </w:tcMar>
            <w:vAlign w:val="center"/>
          </w:tcPr>
          <w:p>
            <w:pPr>
              <w:spacing w:before="0" w:after="0" w:line="240" w:lineRule="auto"/>
            </w:pPr>
            <w:r>
              <w:rPr>
                <w:rFonts w:ascii="Calibri" w:hAnsi="Calibri"/>
                <w:b/>
                <w:color w:val="172736"/>
                <w:sz w:val="18"/>
              </w:rPr>
              <w:t>Proposed order</w:t>
            </w:r>
          </w:p>
        </w:tc>
        <w:tc>
          <w:tcPr>
            <w:tcW w:type="dxa" w:w="6660"/>
            <w:tcMar>
              <w:top w:w="80" w:type="dxa"/>
              <w:bottom w:w="80" w:type="dxa"/>
              <w:start w:w="120" w:type="dxa"/>
              <w:end w:w="120" w:type="dxa"/>
            </w:tcMar>
            <w:vAlign w:val="center"/>
          </w:tcPr>
          <w:p>
            <w:pPr>
              <w:spacing w:before="0" w:after="0" w:line="240" w:lineRule="auto"/>
            </w:pPr>
            <w:r>
              <w:rPr>
                <w:rFonts w:ascii="Calibri" w:hAnsi="Calibri"/>
                <w:b w:val="0"/>
                <w:color w:val="172736"/>
                <w:sz w:val="18"/>
              </w:rPr>
              <w:t>SM-SABER-01 | Task Order 27-052 | Firm-fixed-price</w:t>
            </w:r>
          </w:p>
        </w:tc>
      </w:tr>
      <w:tr>
        <w:tc>
          <w:tcPr>
            <w:tcW w:type="dxa" w:w="2700"/>
            <w:shd w:fill="F2F4F7"/>
            <w:tcMar>
              <w:top w:w="80" w:type="dxa"/>
              <w:bottom w:w="80" w:type="dxa"/>
              <w:start w:w="120" w:type="dxa"/>
              <w:end w:w="120" w:type="dxa"/>
            </w:tcMar>
            <w:vAlign w:val="center"/>
          </w:tcPr>
          <w:p>
            <w:pPr>
              <w:spacing w:before="0" w:after="0" w:line="240" w:lineRule="auto"/>
            </w:pPr>
            <w:r>
              <w:rPr>
                <w:rFonts w:ascii="Calibri" w:hAnsi="Calibri"/>
                <w:b/>
                <w:color w:val="172736"/>
                <w:sz w:val="18"/>
              </w:rPr>
              <w:t>Prime / disclosed sub</w:t>
            </w:r>
          </w:p>
        </w:tc>
        <w:tc>
          <w:tcPr>
            <w:tcW w:type="dxa" w:w="6660"/>
            <w:tcMar>
              <w:top w:w="80" w:type="dxa"/>
              <w:bottom w:w="80" w:type="dxa"/>
              <w:start w:w="120" w:type="dxa"/>
              <w:end w:w="120" w:type="dxa"/>
            </w:tcMar>
            <w:vAlign w:val="center"/>
          </w:tcPr>
          <w:p>
            <w:pPr>
              <w:spacing w:before="0" w:after="0" w:line="240" w:lineRule="auto"/>
            </w:pPr>
            <w:r>
              <w:rPr>
                <w:rFonts w:ascii="Calibri" w:hAnsi="Calibri"/>
                <w:b w:val="0"/>
                <w:color w:val="172736"/>
                <w:sz w:val="18"/>
              </w:rPr>
              <w:t>Outer Heaven Builders, LLC / Northern Beacon Electric, LLC</w:t>
            </w:r>
          </w:p>
        </w:tc>
      </w:tr>
      <w:tr>
        <w:tc>
          <w:tcPr>
            <w:tcW w:type="dxa" w:w="2700"/>
            <w:shd w:fill="F2F4F7"/>
            <w:tcMar>
              <w:top w:w="80" w:type="dxa"/>
              <w:bottom w:w="80" w:type="dxa"/>
              <w:start w:w="120" w:type="dxa"/>
              <w:end w:w="120" w:type="dxa"/>
            </w:tcMar>
            <w:vAlign w:val="center"/>
          </w:tcPr>
          <w:p>
            <w:pPr>
              <w:spacing w:before="0" w:after="0" w:line="240" w:lineRule="auto"/>
            </w:pPr>
            <w:r>
              <w:rPr>
                <w:rFonts w:ascii="Calibri" w:hAnsi="Calibri"/>
                <w:b/>
                <w:color w:val="172736"/>
                <w:sz w:val="18"/>
              </w:rPr>
              <w:t>Value / funds</w:t>
            </w:r>
          </w:p>
        </w:tc>
        <w:tc>
          <w:tcPr>
            <w:tcW w:type="dxa" w:w="6660"/>
            <w:tcMar>
              <w:top w:w="80" w:type="dxa"/>
              <w:bottom w:w="80" w:type="dxa"/>
              <w:start w:w="120" w:type="dxa"/>
              <w:end w:w="120" w:type="dxa"/>
            </w:tcMar>
            <w:vAlign w:val="center"/>
          </w:tcPr>
          <w:p>
            <w:pPr>
              <w:spacing w:before="0" w:after="0" w:line="240" w:lineRule="auto"/>
            </w:pPr>
            <w:r>
              <w:rPr>
                <w:rFonts w:ascii="Calibri" w:hAnsi="Calibri"/>
                <w:b w:val="0"/>
                <w:color w:val="172736"/>
                <w:sz w:val="18"/>
              </w:rPr>
              <w:t>$7,350,000 | FY24 Military Construction, Air Force (3300)</w:t>
            </w:r>
          </w:p>
        </w:tc>
      </w:tr>
      <w:tr>
        <w:tc>
          <w:tcPr>
            <w:tcW w:type="dxa" w:w="2700"/>
            <w:shd w:fill="F2F4F7"/>
            <w:tcMar>
              <w:top w:w="80" w:type="dxa"/>
              <w:bottom w:w="80" w:type="dxa"/>
              <w:start w:w="120" w:type="dxa"/>
              <w:end w:w="120" w:type="dxa"/>
            </w:tcMar>
            <w:vAlign w:val="center"/>
          </w:tcPr>
          <w:p>
            <w:pPr>
              <w:spacing w:before="0" w:after="0" w:line="240" w:lineRule="auto"/>
            </w:pPr>
            <w:r>
              <w:rPr>
                <w:rFonts w:ascii="Calibri" w:hAnsi="Calibri"/>
                <w:b/>
                <w:color w:val="172736"/>
                <w:sz w:val="18"/>
              </w:rPr>
              <w:t>Performance</w:t>
            </w:r>
          </w:p>
        </w:tc>
        <w:tc>
          <w:tcPr>
            <w:tcW w:type="dxa" w:w="6660"/>
            <w:tcMar>
              <w:top w:w="80" w:type="dxa"/>
              <w:bottom w:w="80" w:type="dxa"/>
              <w:start w:w="120" w:type="dxa"/>
              <w:end w:w="120" w:type="dxa"/>
            </w:tcMar>
            <w:vAlign w:val="center"/>
          </w:tcPr>
          <w:p>
            <w:pPr>
              <w:spacing w:before="0" w:after="0" w:line="240" w:lineRule="auto"/>
            </w:pPr>
            <w:r>
              <w:rPr>
                <w:rFonts w:ascii="Calibri" w:hAnsi="Calibri"/>
                <w:b w:val="0"/>
                <w:color w:val="172736"/>
                <w:sz w:val="18"/>
              </w:rPr>
              <w:t>Interim operating configuration: NTP + 10 days | Complete: NTP + 20 days</w:t>
            </w:r>
          </w:p>
        </w:tc>
      </w:tr>
      <w:tr>
        <w:tc>
          <w:tcPr>
            <w:tcW w:type="dxa" w:w="2700"/>
            <w:shd w:fill="F2F4F7"/>
            <w:tcMar>
              <w:top w:w="80" w:type="dxa"/>
              <w:bottom w:w="80" w:type="dxa"/>
              <w:start w:w="120" w:type="dxa"/>
              <w:end w:w="120" w:type="dxa"/>
            </w:tcMar>
            <w:vAlign w:val="center"/>
          </w:tcPr>
          <w:p>
            <w:pPr>
              <w:spacing w:before="0" w:after="0" w:line="240" w:lineRule="auto"/>
            </w:pPr>
            <w:r>
              <w:rPr>
                <w:rFonts w:ascii="Calibri" w:hAnsi="Calibri"/>
                <w:b/>
                <w:color w:val="172736"/>
                <w:sz w:val="18"/>
              </w:rPr>
              <w:t>Liquidated damages</w:t>
            </w:r>
          </w:p>
        </w:tc>
        <w:tc>
          <w:tcPr>
            <w:tcW w:type="dxa" w:w="6660"/>
            <w:tcMar>
              <w:top w:w="80" w:type="dxa"/>
              <w:bottom w:w="80" w:type="dxa"/>
              <w:start w:w="120" w:type="dxa"/>
              <w:end w:w="120" w:type="dxa"/>
            </w:tcMar>
            <w:vAlign w:val="center"/>
          </w:tcPr>
          <w:p>
            <w:pPr>
              <w:spacing w:before="0" w:after="0" w:line="240" w:lineRule="auto"/>
            </w:pPr>
            <w:r>
              <w:rPr>
                <w:rFonts w:ascii="Calibri" w:hAnsi="Calibri"/>
                <w:b w:val="0"/>
                <w:color w:val="172736"/>
                <w:sz w:val="18"/>
              </w:rPr>
              <w:t>$8,500 per calendar day under FAR 52.211-12</w:t>
            </w:r>
          </w:p>
        </w:tc>
      </w:tr>
    </w:tbl>
    <w:p>
      <w:pPr>
        <w:pStyle w:val="Heading1"/>
        <w:keepNext/>
      </w:pPr>
      <w:r>
        <w:t>Requirement and proposed award</w:t>
      </w:r>
    </w:p>
    <w:p>
      <w:pPr>
        <w:spacing w:before="0" w:after="100" w:line="264" w:lineRule="auto"/>
      </w:pPr>
      <w:r>
        <w:t>A series of irregular hailstorms during 2026 broke nearly all approach lights serving Runway 10/28. Airfield Operations (713 AOS) requires urgent restoration before the next severe-weather season. Work includes light assemblies, foundations, cabling, transformers, control interfaces, testing, and an interim operating configuration. Because timely performance is exceptionally important and the probable operational harm from delay is difficult to quantify precisely, the proposed order includes the FAR 52.211-12 rate shown above. The construction limits are inside the controlled flightline. No award or notice to proceed has been issued.</w:t>
      </w:r>
    </w:p>
    <w:p>
      <w:pPr>
        <w:pStyle w:val="Heading1"/>
        <w:keepNext/>
      </w:pPr>
      <w:r>
        <w:t>Award-package inventory</w:t>
      </w:r>
    </w:p>
    <w:tbl>
      <w:tblPr>
        <w:tblStyle w:val="TableGrid"/>
        <w:tblW w:type="dxa" w:w="9360"/>
        <w:jc w:val="left"/>
        <w:tblLayout w:type="fixed"/>
        <w:tblLook w:firstColumn="1" w:firstRow="1" w:lastColumn="0" w:lastRow="0" w:noHBand="0" w:noVBand="1" w:val="04A0"/>
        <w:tblInd w:w="120" w:type="dxa"/>
      </w:tblPr>
      <w:tblGrid>
        <w:gridCol w:w="6200"/>
        <w:gridCol w:w="3160"/>
      </w:tblGrid>
      <w:tr>
        <w:tc>
          <w:tcPr>
            <w:tcW w:type="dxa" w:w="6200"/>
            <w:shd w:fill="E8EEF5"/>
            <w:tcMar>
              <w:top w:w="80" w:type="dxa"/>
              <w:bottom w:w="80" w:type="dxa"/>
              <w:start w:w="120" w:type="dxa"/>
              <w:end w:w="120" w:type="dxa"/>
            </w:tcMar>
            <w:vAlign w:val="center"/>
          </w:tcPr>
          <w:p>
            <w:pPr>
              <w:spacing w:before="0" w:after="0" w:line="240" w:lineRule="auto"/>
            </w:pPr>
            <w:r>
              <w:rPr>
                <w:rFonts w:ascii="Calibri" w:hAnsi="Calibri"/>
                <w:b/>
                <w:color w:val="172736"/>
                <w:sz w:val="18"/>
              </w:rPr>
              <w:t>Award-package element</w:t>
            </w:r>
          </w:p>
        </w:tc>
        <w:tc>
          <w:tcPr>
            <w:tcW w:type="dxa" w:w="3160"/>
            <w:shd w:fill="E8EEF5"/>
            <w:tcMar>
              <w:top w:w="80" w:type="dxa"/>
              <w:bottom w:w="80" w:type="dxa"/>
              <w:start w:w="120" w:type="dxa"/>
              <w:end w:w="120" w:type="dxa"/>
            </w:tcMar>
            <w:vAlign w:val="center"/>
          </w:tcPr>
          <w:p>
            <w:pPr>
              <w:spacing w:before="0" w:after="0" w:line="240" w:lineRule="auto"/>
            </w:pPr>
            <w:r>
              <w:rPr>
                <w:rFonts w:ascii="Calibri" w:hAnsi="Calibri"/>
                <w:b/>
                <w:color w:val="172736"/>
                <w:sz w:val="18"/>
              </w:rPr>
              <w:t>File status</w:t>
            </w:r>
          </w:p>
        </w:tc>
      </w:tr>
      <w:tr>
        <w:tc>
          <w:tcPr>
            <w:tcW w:type="dxa" w:w="6200"/>
            <w:tcMar>
              <w:top w:w="80" w:type="dxa"/>
              <w:bottom w:w="80" w:type="dxa"/>
              <w:start w:w="120" w:type="dxa"/>
              <w:end w:w="120" w:type="dxa"/>
            </w:tcMar>
            <w:vAlign w:val="center"/>
          </w:tcPr>
          <w:p>
            <w:pPr>
              <w:spacing w:before="0" w:after="0" w:line="240" w:lineRule="auto"/>
            </w:pPr>
            <w:r>
              <w:rPr>
                <w:rFonts w:ascii="Calibri" w:hAnsi="Calibri"/>
                <w:b w:val="0"/>
                <w:color w:val="172736"/>
                <w:sz w:val="18"/>
              </w:rPr>
              <w:t>Scope, 30% design, and phased restoration plan</w:t>
            </w:r>
          </w:p>
        </w:tc>
        <w:tc>
          <w:tcPr>
            <w:tcW w:type="dxa" w:w="3160"/>
            <w:tcMar>
              <w:top w:w="80" w:type="dxa"/>
              <w:bottom w:w="80" w:type="dxa"/>
              <w:start w:w="120" w:type="dxa"/>
              <w:end w:w="120" w:type="dxa"/>
            </w:tcMar>
            <w:vAlign w:val="center"/>
          </w:tcPr>
          <w:p>
            <w:pPr>
              <w:spacing w:before="0" w:after="0" w:line="240" w:lineRule="auto"/>
            </w:pPr>
            <w:r>
              <w:rPr>
                <w:rFonts w:ascii="Calibri" w:hAnsi="Calibri"/>
                <w:b w:val="0"/>
                <w:color w:val="172736"/>
                <w:sz w:val="18"/>
              </w:rPr>
              <w:t>Included / technically approved</w:t>
            </w:r>
          </w:p>
        </w:tc>
      </w:tr>
      <w:tr>
        <w:tc>
          <w:tcPr>
            <w:tcW w:type="dxa" w:w="6200"/>
            <w:tcMar>
              <w:top w:w="80" w:type="dxa"/>
              <w:bottom w:w="80" w:type="dxa"/>
              <w:start w:w="120" w:type="dxa"/>
              <w:end w:w="120" w:type="dxa"/>
            </w:tcMar>
            <w:vAlign w:val="center"/>
          </w:tcPr>
          <w:p>
            <w:pPr>
              <w:spacing w:before="0" w:after="0" w:line="240" w:lineRule="auto"/>
            </w:pPr>
            <w:r>
              <w:rPr>
                <w:rFonts w:ascii="Calibri" w:hAnsi="Calibri"/>
                <w:b w:val="0"/>
                <w:color w:val="172736"/>
                <w:sz w:val="18"/>
              </w:rPr>
              <w:t>Certified funding request and project-authority review</w:t>
            </w:r>
          </w:p>
        </w:tc>
        <w:tc>
          <w:tcPr>
            <w:tcW w:type="dxa" w:w="3160"/>
            <w:tcMar>
              <w:top w:w="80" w:type="dxa"/>
              <w:bottom w:w="80" w:type="dxa"/>
              <w:start w:w="120" w:type="dxa"/>
              <w:end w:w="120" w:type="dxa"/>
            </w:tcMar>
            <w:vAlign w:val="center"/>
          </w:tcPr>
          <w:p>
            <w:pPr>
              <w:spacing w:before="0" w:after="0" w:line="240" w:lineRule="auto"/>
            </w:pPr>
            <w:r>
              <w:rPr>
                <w:rFonts w:ascii="Calibri" w:hAnsi="Calibri"/>
                <w:b w:val="0"/>
                <w:color w:val="172736"/>
                <w:sz w:val="18"/>
              </w:rPr>
              <w:t>Included / complete</w:t>
            </w:r>
          </w:p>
        </w:tc>
      </w:tr>
      <w:tr>
        <w:tc>
          <w:tcPr>
            <w:tcW w:type="dxa" w:w="6200"/>
            <w:tcMar>
              <w:top w:w="80" w:type="dxa"/>
              <w:bottom w:w="80" w:type="dxa"/>
              <w:start w:w="120" w:type="dxa"/>
              <w:end w:w="120" w:type="dxa"/>
            </w:tcMar>
            <w:vAlign w:val="center"/>
          </w:tcPr>
          <w:p>
            <w:pPr>
              <w:spacing w:before="0" w:after="0" w:line="240" w:lineRule="auto"/>
            </w:pPr>
            <w:r>
              <w:rPr>
                <w:rFonts w:ascii="Calibri" w:hAnsi="Calibri"/>
                <w:b w:val="0"/>
                <w:color w:val="172736"/>
                <w:sz w:val="18"/>
              </w:rPr>
              <w:t>Government estimate, SABER coefficients, and price analysis</w:t>
            </w:r>
          </w:p>
        </w:tc>
        <w:tc>
          <w:tcPr>
            <w:tcW w:type="dxa" w:w="3160"/>
            <w:tcMar>
              <w:top w:w="80" w:type="dxa"/>
              <w:bottom w:w="80" w:type="dxa"/>
              <w:start w:w="120" w:type="dxa"/>
              <w:end w:w="120" w:type="dxa"/>
            </w:tcMar>
            <w:vAlign w:val="center"/>
          </w:tcPr>
          <w:p>
            <w:pPr>
              <w:spacing w:before="0" w:after="0" w:line="240" w:lineRule="auto"/>
            </w:pPr>
            <w:r>
              <w:rPr>
                <w:rFonts w:ascii="Calibri" w:hAnsi="Calibri"/>
                <w:b w:val="0"/>
                <w:color w:val="172736"/>
                <w:sz w:val="18"/>
              </w:rPr>
              <w:t>Included / complete</w:t>
            </w:r>
          </w:p>
        </w:tc>
      </w:tr>
      <w:tr>
        <w:tc>
          <w:tcPr>
            <w:tcW w:type="dxa" w:w="6200"/>
            <w:tcMar>
              <w:top w:w="80" w:type="dxa"/>
              <w:bottom w:w="80" w:type="dxa"/>
              <w:start w:w="120" w:type="dxa"/>
              <w:end w:w="120" w:type="dxa"/>
            </w:tcMar>
            <w:vAlign w:val="center"/>
          </w:tcPr>
          <w:p>
            <w:pPr>
              <w:spacing w:before="0" w:after="0" w:line="240" w:lineRule="auto"/>
            </w:pPr>
            <w:r>
              <w:rPr>
                <w:rFonts w:ascii="Calibri" w:hAnsi="Calibri"/>
                <w:b w:val="0"/>
                <w:color w:val="172736"/>
                <w:sz w:val="18"/>
              </w:rPr>
              <w:t>Wage determination, clauses, bonding, and insurance requirements</w:t>
            </w:r>
          </w:p>
        </w:tc>
        <w:tc>
          <w:tcPr>
            <w:tcW w:type="dxa" w:w="3160"/>
            <w:tcMar>
              <w:top w:w="80" w:type="dxa"/>
              <w:bottom w:w="80" w:type="dxa"/>
              <w:start w:w="120" w:type="dxa"/>
              <w:end w:w="120" w:type="dxa"/>
            </w:tcMar>
            <w:vAlign w:val="center"/>
          </w:tcPr>
          <w:p>
            <w:pPr>
              <w:spacing w:before="0" w:after="0" w:line="240" w:lineRule="auto"/>
            </w:pPr>
            <w:r>
              <w:rPr>
                <w:rFonts w:ascii="Calibri" w:hAnsi="Calibri"/>
                <w:b w:val="0"/>
                <w:color w:val="172736"/>
                <w:sz w:val="18"/>
              </w:rPr>
              <w:t>Included / complete</w:t>
            </w:r>
          </w:p>
        </w:tc>
      </w:tr>
      <w:tr>
        <w:tc>
          <w:tcPr>
            <w:tcW w:type="dxa" w:w="6200"/>
            <w:tcMar>
              <w:top w:w="80" w:type="dxa"/>
              <w:bottom w:w="80" w:type="dxa"/>
              <w:start w:w="120" w:type="dxa"/>
              <w:end w:w="120" w:type="dxa"/>
            </w:tcMar>
            <w:vAlign w:val="center"/>
          </w:tcPr>
          <w:p>
            <w:pPr>
              <w:spacing w:before="0" w:after="0" w:line="240" w:lineRule="auto"/>
            </w:pPr>
            <w:r>
              <w:rPr>
                <w:rFonts w:ascii="Calibri" w:hAnsi="Calibri"/>
                <w:b w:val="0"/>
                <w:color w:val="172736"/>
                <w:sz w:val="18"/>
              </w:rPr>
              <w:t>Safety, environmental, and operational phasing coordination</w:t>
            </w:r>
          </w:p>
        </w:tc>
        <w:tc>
          <w:tcPr>
            <w:tcW w:type="dxa" w:w="3160"/>
            <w:tcMar>
              <w:top w:w="80" w:type="dxa"/>
              <w:bottom w:w="80" w:type="dxa"/>
              <w:start w:w="120" w:type="dxa"/>
              <w:end w:w="120" w:type="dxa"/>
            </w:tcMar>
            <w:vAlign w:val="center"/>
          </w:tcPr>
          <w:p>
            <w:pPr>
              <w:spacing w:before="0" w:after="0" w:line="240" w:lineRule="auto"/>
            </w:pPr>
            <w:r>
              <w:rPr>
                <w:rFonts w:ascii="Calibri" w:hAnsi="Calibri"/>
                <w:b w:val="0"/>
                <w:color w:val="172736"/>
                <w:sz w:val="18"/>
              </w:rPr>
              <w:t>Included / complete</w:t>
            </w:r>
          </w:p>
        </w:tc>
      </w:tr>
      <w:tr>
        <w:tc>
          <w:tcPr>
            <w:tcW w:type="dxa" w:w="6200"/>
            <w:tcMar>
              <w:top w:w="80" w:type="dxa"/>
              <w:bottom w:w="80" w:type="dxa"/>
              <w:start w:w="120" w:type="dxa"/>
              <w:end w:w="120" w:type="dxa"/>
            </w:tcMar>
            <w:vAlign w:val="center"/>
          </w:tcPr>
          <w:p>
            <w:pPr>
              <w:spacing w:before="0" w:after="0" w:line="240" w:lineRule="auto"/>
            </w:pPr>
            <w:r>
              <w:rPr>
                <w:rFonts w:ascii="Calibri" w:hAnsi="Calibri"/>
                <w:b w:val="0"/>
                <w:color w:val="172736"/>
                <w:sz w:val="18"/>
              </w:rPr>
              <w:t>Prime/subcontractor roster and installation-entry sponsorship</w:t>
            </w:r>
          </w:p>
        </w:tc>
        <w:tc>
          <w:tcPr>
            <w:tcW w:type="dxa" w:w="3160"/>
            <w:tcMar>
              <w:top w:w="80" w:type="dxa"/>
              <w:bottom w:w="80" w:type="dxa"/>
              <w:start w:w="120" w:type="dxa"/>
              <w:end w:w="120" w:type="dxa"/>
            </w:tcMar>
            <w:vAlign w:val="center"/>
          </w:tcPr>
          <w:p>
            <w:pPr>
              <w:spacing w:before="0" w:after="0" w:line="240" w:lineRule="auto"/>
            </w:pPr>
            <w:r>
              <w:rPr>
                <w:rFonts w:ascii="Calibri" w:hAnsi="Calibri"/>
                <w:b/>
                <w:color w:val="172736"/>
                <w:sz w:val="18"/>
              </w:rPr>
              <w:t>Approved - base access</w:t>
            </w:r>
          </w:p>
        </w:tc>
      </w:tr>
      <w:tr>
        <w:tc>
          <w:tcPr>
            <w:tcW w:type="dxa" w:w="6200"/>
            <w:tcMar>
              <w:top w:w="80" w:type="dxa"/>
              <w:bottom w:w="80" w:type="dxa"/>
              <w:start w:w="120" w:type="dxa"/>
              <w:end w:w="120" w:type="dxa"/>
            </w:tcMar>
            <w:vAlign w:val="center"/>
          </w:tcPr>
          <w:p>
            <w:pPr>
              <w:spacing w:before="0" w:after="0" w:line="240" w:lineRule="auto"/>
            </w:pPr>
            <w:r>
              <w:rPr>
                <w:rFonts w:ascii="Calibri" w:hAnsi="Calibri"/>
                <w:b w:val="0"/>
                <w:color w:val="172736"/>
                <w:sz w:val="18"/>
              </w:rPr>
              <w:t>Proposed task order and award memorandum</w:t>
            </w:r>
          </w:p>
        </w:tc>
        <w:tc>
          <w:tcPr>
            <w:tcW w:type="dxa" w:w="3160"/>
            <w:tcMar>
              <w:top w:w="80" w:type="dxa"/>
              <w:bottom w:w="80" w:type="dxa"/>
              <w:start w:w="120" w:type="dxa"/>
              <w:end w:w="120" w:type="dxa"/>
            </w:tcMar>
            <w:vAlign w:val="center"/>
          </w:tcPr>
          <w:p>
            <w:pPr>
              <w:spacing w:before="0" w:after="0" w:line="240" w:lineRule="auto"/>
            </w:pPr>
            <w:r>
              <w:rPr>
                <w:rFonts w:ascii="Calibri" w:hAnsi="Calibri"/>
                <w:b/>
                <w:color w:val="172736"/>
                <w:sz w:val="18"/>
              </w:rPr>
              <w:t>Prepared for CO decision</w:t>
            </w:r>
          </w:p>
        </w:tc>
      </w:tr>
    </w:tbl>
    <w:p>
      <w:pPr>
        <w:spacing w:before="80" w:after="0"/>
      </w:pPr>
    </w:p>
    <w:tbl>
      <w:tblPr>
        <w:tblStyle w:val="TableGrid"/>
        <w:tblW w:type="dxa" w:w="9360"/>
        <w:jc w:val="left"/>
        <w:tblLayout w:type="fixed"/>
        <w:tblLook w:firstColumn="1" w:firstRow="1" w:lastColumn="0" w:lastRow="0" w:noHBand="0" w:noVBand="1" w:val="04A0"/>
        <w:tblInd w:w="120" w:type="dxa"/>
      </w:tblPr>
      <w:tblGrid>
        <w:gridCol w:w="9360"/>
      </w:tblGrid>
      <w:tr>
        <w:tc>
          <w:tcPr>
            <w:tcW w:type="dxa" w:w="9360"/>
            <w:shd w:fill="FFF8E8"/>
            <w:tcMar>
              <w:top w:w="80" w:type="dxa"/>
              <w:bottom w:w="80" w:type="dxa"/>
              <w:start w:w="120" w:type="dxa"/>
              <w:end w:w="120" w:type="dxa"/>
            </w:tcMar>
            <w:vAlign w:val="center"/>
          </w:tcPr>
          <w:p>
            <w:pPr>
              <w:spacing w:before="0" w:after="0" w:line="264" w:lineRule="auto"/>
            </w:pPr>
            <w:r>
              <w:rPr>
                <w:rFonts w:ascii="Calibri" w:hAnsi="Calibri"/>
                <w:b/>
                <w:color w:val="172736"/>
                <w:sz w:val="19"/>
              </w:rPr>
              <w:t xml:space="preserve">ACCESS RECORD IN THIS PACKAGE. </w:t>
            </w:r>
            <w:r>
              <w:rPr>
                <w:rFonts w:ascii="Calibri" w:hAnsi="Calibri"/>
                <w:color w:val="172736"/>
                <w:sz w:val="19"/>
              </w:rPr>
              <w:t xml:space="preserve">Security Forces (713 SFS) approved the named personnel for installation entry and all nonrestricted base locations through 30 September 2027. </w:t>
            </w:r>
            <w:r>
              <w:rPr>
                <w:rFonts w:ascii="Calibri" w:hAnsi="Calibri"/>
                <w:b/>
                <w:color w:val="172736"/>
                <w:sz w:val="19"/>
              </w:rPr>
              <w:t xml:space="preserve">The work site lies beyond the controlled flightline gate. </w:t>
            </w:r>
            <w:r>
              <w:rPr>
                <w:rFonts w:ascii="Calibri" w:hAnsi="Calibri"/>
                <w:color w:val="172736"/>
                <w:sz w:val="19"/>
              </w:rPr>
              <w:t>Airfield Operations (713 AOS), with Security Forces, administers the separate work-area authorization, restricted-area endorsement, and vehicle or pedestrian permissions used inside that boundary.</w:t>
            </w:r>
          </w:p>
        </w:tc>
      </w:tr>
    </w:tbl>
    <w:p>
      <w:pPr>
        <w:spacing w:before="140" w:after="0" w:line="264" w:lineRule="auto"/>
      </w:pPr>
      <w:r>
        <w:rPr>
          <w:rFonts w:ascii="Calibri" w:hAnsi="Calibri"/>
          <w:b/>
          <w:color w:val="2E74B5"/>
          <w:sz w:val="21"/>
        </w:rPr>
        <w:t xml:space="preserve">REVIEW STATUS: </w:t>
      </w:r>
      <w:r>
        <w:rPr>
          <w:rFonts w:ascii="Calibri" w:hAnsi="Calibri"/>
          <w:b/>
          <w:color w:val="172736"/>
          <w:sz w:val="21"/>
        </w:rPr>
        <w:t>The proposed order is otherwise prepared for the Contracting Officer's award decision.</w:t>
      </w:r>
    </w:p>
    <w:p>
      <w:pPr>
        <w:spacing w:before="120" w:after="0"/>
      </w:pPr>
      <w:r>
        <w:rPr>
          <w:rFonts w:ascii="Calibri" w:hAnsi="Calibri"/>
          <w:b/>
          <w:color w:val="606A74"/>
          <w:sz w:val="18"/>
        </w:rPr>
        <w:t xml:space="preserve">Prepared by: </w:t>
      </w:r>
      <w:r>
        <w:rPr>
          <w:rFonts w:ascii="Calibri" w:hAnsi="Calibri"/>
          <w:color w:val="606A74"/>
          <w:sz w:val="18"/>
        </w:rPr>
        <w:t>Amelie Emmerich, Contract Specialist, 713 CONS</w:t>
      </w:r>
    </w:p>
    <w:sectPr w:rsidR="00FC693F" w:rsidRPr="0006063C" w:rsidSect="00034616">
      <w:headerReference w:type="default" r:id="rId9"/>
      <w:footerReference w:type="default" r:id="rId10"/>
      <w:pgSz w:w="12240" w:h="15840"/>
      <w:pgMar w:top="1008" w:right="1440" w:bottom="1008" w:left="144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6"/>
      </w:rPr>
      <w:t>C-01  |  TRAINING USE ONLY - ALL INFORMATION FICTIONAL  |  Page 1 of 1</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Calibri" w:hAnsi="Calibri"/>
        <w:b/>
        <w:color w:val="606A74"/>
        <w:sz w:val="17"/>
      </w:rPr>
      <w:t>713TH CONTRACTING SQUADRON  |  PRE-AWARD REVIEW</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7273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Calibri" w:hAnsi="Calibri"/>
      <w:b/>
      <w:bCs/>
      <w:color w:val="2E74B5"/>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C-01 Proposed SABER Task Order Award Summary</dc:title>
  <dc:subject>Fictional construction-contract training handout</dc:subject>
  <dc:creator>713th Contracting Squadron (fictional)</dc:creator>
  <cp:keywords>training, construction, SABER, airfield, access, award</cp:keywords>
  <dc:description>Training use only. All names, places, values, and requirements are fictional.</dc:description>
  <cp:lastModifiedBy/>
  <cp:revision>1</cp:revision>
  <dcterms:created xsi:type="dcterms:W3CDTF">2013-12-23T23:15:00Z</dcterms:created>
  <dcterms:modified xsi:type="dcterms:W3CDTF">2013-12-23T23:15:00Z</dcterms:modified>
  <cp:category/>
</cp:coreProperties>
</file>