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00" w:after="40"/>
        <w:jc w:val="center"/>
      </w:pPr>
      <w:r>
        <w:rPr>
          <w:rFonts w:ascii="Calibri" w:hAnsi="Calibri"/>
          <w:b/>
          <w:color w:val="192530"/>
          <w:sz w:val="32"/>
        </w:rPr>
        <w:t>DEPARTMENT OF THE AIR FORCE</w:t>
      </w:r>
    </w:p>
    <w:p>
      <w:pPr>
        <w:keepNext/>
        <w:spacing w:before="0" w:after="28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AGREED PROGRESS SCHEDULE &amp; SCHEDULE OF VALUES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Task Order FA-27-005 - Payment Request No. 005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Task-order value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$26,400,000.00 firm-fixed price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Notice to proceed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22 March 2027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Schedule status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Accepted for progress-payment administration on 18 March 2027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Current period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1 through 20 August 2027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Payment status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$6,350,000.00 previously approved; $4,880,000.00 requested now</w:t>
            </w:r>
          </w:p>
        </w:tc>
      </w:tr>
    </w:tbl>
    <w:p>
      <w:pPr>
        <w:pStyle w:val="Heading1"/>
        <w:keepNext/>
      </w:pPr>
      <w:r>
        <w:t>Complete payment breakdown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600"/>
        <w:gridCol w:w="3580"/>
        <w:gridCol w:w="1440"/>
        <w:gridCol w:w="850"/>
        <w:gridCol w:w="850"/>
        <w:gridCol w:w="2040"/>
      </w:tblGrid>
      <w:tr>
        <w:trPr>
          <w:tblHeader w:val="true"/>
          <w:cantSplit/>
        </w:trPr>
        <w:tc>
          <w:tcPr>
            <w:tcW w:type="dxa" w:w="6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4"/>
              </w:rPr>
              <w:t>SOV</w:t>
            </w:r>
          </w:p>
        </w:tc>
        <w:tc>
          <w:tcPr>
            <w:tcW w:type="dxa" w:w="358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4"/>
              </w:rPr>
              <w:t>Work portion</w:t>
            </w:r>
          </w:p>
        </w:tc>
        <w:tc>
          <w:tcPr>
            <w:tcW w:type="dxa" w:w="144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4"/>
              </w:rPr>
              <w:t>Scheduled value</w:t>
            </w:r>
          </w:p>
        </w:tc>
        <w:tc>
          <w:tcPr>
            <w:tcW w:type="dxa" w:w="85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4"/>
              </w:rPr>
              <w:t>Prior</w:t>
            </w:r>
          </w:p>
        </w:tc>
        <w:tc>
          <w:tcPr>
            <w:tcW w:type="dxa" w:w="85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4"/>
              </w:rPr>
              <w:t>Current</w:t>
            </w:r>
          </w:p>
        </w:tc>
        <w:tc>
          <w:tcPr>
            <w:tcW w:type="dxa" w:w="204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4"/>
              </w:rPr>
              <w:t>This request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01</w:t>
            </w:r>
          </w:p>
        </w:tc>
        <w:tc>
          <w:tcPr>
            <w:tcW w:type="dxa" w:w="35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Design completion, phasing, submittals</w:t>
            </w:r>
          </w:p>
        </w:tc>
        <w:tc>
          <w:tcPr>
            <w:tcW w:type="dxa" w:w="14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$1,850,000</w:t>
            </w:r>
          </w:p>
        </w:tc>
        <w:tc>
          <w:tcPr>
            <w:tcW w:type="dxa" w:w="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90%</w:t>
            </w:r>
          </w:p>
        </w:tc>
        <w:tc>
          <w:tcPr>
            <w:tcW w:type="dxa" w:w="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100%</w:t>
            </w:r>
          </w:p>
        </w:tc>
        <w:tc>
          <w:tcPr>
            <w:tcW w:type="dxa" w:w="20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$185,000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02</w:t>
            </w:r>
          </w:p>
        </w:tc>
        <w:tc>
          <w:tcPr>
            <w:tcW w:type="dxa" w:w="35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Mobilization, temporary facilities and protection</w:t>
            </w:r>
          </w:p>
        </w:tc>
        <w:tc>
          <w:tcPr>
            <w:tcW w:type="dxa" w:w="14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$1,100,000</w:t>
            </w:r>
          </w:p>
        </w:tc>
        <w:tc>
          <w:tcPr>
            <w:tcW w:type="dxa" w:w="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80%</w:t>
            </w:r>
          </w:p>
        </w:tc>
        <w:tc>
          <w:tcPr>
            <w:tcW w:type="dxa" w:w="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85%</w:t>
            </w:r>
          </w:p>
        </w:tc>
        <w:tc>
          <w:tcPr>
            <w:tcW w:type="dxa" w:w="20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$55,000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03</w:t>
            </w:r>
          </w:p>
        </w:tc>
        <w:tc>
          <w:tcPr>
            <w:tcW w:type="dxa" w:w="35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Selective demolition and hazardous-material controls</w:t>
            </w:r>
          </w:p>
        </w:tc>
        <w:tc>
          <w:tcPr>
            <w:tcW w:type="dxa" w:w="14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$2,100,000</w:t>
            </w:r>
          </w:p>
        </w:tc>
        <w:tc>
          <w:tcPr>
            <w:tcW w:type="dxa" w:w="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60%</w:t>
            </w:r>
          </w:p>
        </w:tc>
        <w:tc>
          <w:tcPr>
            <w:tcW w:type="dxa" w:w="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60%</w:t>
            </w:r>
          </w:p>
        </w:tc>
        <w:tc>
          <w:tcPr>
            <w:tcW w:type="dxa" w:w="20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$0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04</w:t>
            </w:r>
          </w:p>
        </w:tc>
        <w:tc>
          <w:tcPr>
            <w:tcW w:type="dxa" w:w="35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Structural renewal</w:t>
            </w:r>
          </w:p>
        </w:tc>
        <w:tc>
          <w:tcPr>
            <w:tcW w:type="dxa" w:w="14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$2,400,000</w:t>
            </w:r>
          </w:p>
        </w:tc>
        <w:tc>
          <w:tcPr>
            <w:tcW w:type="dxa" w:w="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20%</w:t>
            </w:r>
          </w:p>
        </w:tc>
        <w:tc>
          <w:tcPr>
            <w:tcW w:type="dxa" w:w="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40%</w:t>
            </w:r>
          </w:p>
        </w:tc>
        <w:tc>
          <w:tcPr>
            <w:tcW w:type="dxa" w:w="20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$480,000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05</w:t>
            </w:r>
          </w:p>
        </w:tc>
        <w:tc>
          <w:tcPr>
            <w:tcW w:type="dxa" w:w="35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Roofing renewal</w:t>
            </w:r>
          </w:p>
        </w:tc>
        <w:tc>
          <w:tcPr>
            <w:tcW w:type="dxa" w:w="14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$1,450,000</w:t>
            </w:r>
          </w:p>
        </w:tc>
        <w:tc>
          <w:tcPr>
            <w:tcW w:type="dxa" w:w="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10%</w:t>
            </w:r>
          </w:p>
        </w:tc>
        <w:tc>
          <w:tcPr>
            <w:tcW w:type="dxa" w:w="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30%</w:t>
            </w:r>
          </w:p>
        </w:tc>
        <w:tc>
          <w:tcPr>
            <w:tcW w:type="dxa" w:w="20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$290,000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06</w:t>
            </w:r>
          </w:p>
        </w:tc>
        <w:tc>
          <w:tcPr>
            <w:tcW w:type="dxa" w:w="35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Exterior-envelope renewal</w:t>
            </w:r>
          </w:p>
        </w:tc>
        <w:tc>
          <w:tcPr>
            <w:tcW w:type="dxa" w:w="14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$1,550,000</w:t>
            </w:r>
          </w:p>
        </w:tc>
        <w:tc>
          <w:tcPr>
            <w:tcW w:type="dxa" w:w="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0%</w:t>
            </w:r>
          </w:p>
        </w:tc>
        <w:tc>
          <w:tcPr>
            <w:tcW w:type="dxa" w:w="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20%</w:t>
            </w:r>
          </w:p>
        </w:tc>
        <w:tc>
          <w:tcPr>
            <w:tcW w:type="dxa" w:w="20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$310,000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07</w:t>
            </w:r>
          </w:p>
        </w:tc>
        <w:tc>
          <w:tcPr>
            <w:tcW w:type="dxa" w:w="35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Site and civil work</w:t>
            </w:r>
          </w:p>
        </w:tc>
        <w:tc>
          <w:tcPr>
            <w:tcW w:type="dxa" w:w="14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$750,000</w:t>
            </w:r>
          </w:p>
        </w:tc>
        <w:tc>
          <w:tcPr>
            <w:tcW w:type="dxa" w:w="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0%</w:t>
            </w:r>
          </w:p>
        </w:tc>
        <w:tc>
          <w:tcPr>
            <w:tcW w:type="dxa" w:w="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20%</w:t>
            </w:r>
          </w:p>
        </w:tc>
        <w:tc>
          <w:tcPr>
            <w:tcW w:type="dxa" w:w="20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$150,000</w:t>
            </w:r>
          </w:p>
        </w:tc>
      </w:tr>
      <w:tr>
        <w:trPr>
          <w:cantSplit/>
        </w:trPr>
        <w:tc>
          <w:tcPr>
            <w:tcW w:type="dxa" w:w="60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08</w:t>
            </w:r>
          </w:p>
        </w:tc>
        <w:tc>
          <w:tcPr>
            <w:tcW w:type="dxa" w:w="358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Electrical systems - installation plus staged permanent materials/equipment</w:t>
            </w:r>
          </w:p>
        </w:tc>
        <w:tc>
          <w:tcPr>
            <w:tcW w:type="dxa" w:w="144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$3,200,000</w:t>
            </w:r>
          </w:p>
        </w:tc>
        <w:tc>
          <w:tcPr>
            <w:tcW w:type="dxa" w:w="85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35%</w:t>
            </w:r>
          </w:p>
        </w:tc>
        <w:tc>
          <w:tcPr>
            <w:tcW w:type="dxa" w:w="85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65%</w:t>
            </w:r>
          </w:p>
        </w:tc>
        <w:tc>
          <w:tcPr>
            <w:tcW w:type="dxa" w:w="204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$960,000</w:t>
            </w:r>
          </w:p>
        </w:tc>
      </w:tr>
      <w:tr>
        <w:trPr>
          <w:cantSplit/>
        </w:trPr>
        <w:tc>
          <w:tcPr>
            <w:tcW w:type="dxa" w:w="60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09</w:t>
            </w:r>
          </w:p>
        </w:tc>
        <w:tc>
          <w:tcPr>
            <w:tcW w:type="dxa" w:w="358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HVAC systems - installation plus staged permanent equipment/materials</w:t>
            </w:r>
          </w:p>
        </w:tc>
        <w:tc>
          <w:tcPr>
            <w:tcW w:type="dxa" w:w="144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$4,000,000</w:t>
            </w:r>
          </w:p>
        </w:tc>
        <w:tc>
          <w:tcPr>
            <w:tcW w:type="dxa" w:w="85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20%</w:t>
            </w:r>
          </w:p>
        </w:tc>
        <w:tc>
          <w:tcPr>
            <w:tcW w:type="dxa" w:w="85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60%</w:t>
            </w:r>
          </w:p>
        </w:tc>
        <w:tc>
          <w:tcPr>
            <w:tcW w:type="dxa" w:w="204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$1,600,000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10</w:t>
            </w:r>
          </w:p>
        </w:tc>
        <w:tc>
          <w:tcPr>
            <w:tcW w:type="dxa" w:w="35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Fire protection, backup power and pathways</w:t>
            </w:r>
          </w:p>
        </w:tc>
        <w:tc>
          <w:tcPr>
            <w:tcW w:type="dxa" w:w="14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$1,200,000</w:t>
            </w:r>
          </w:p>
        </w:tc>
        <w:tc>
          <w:tcPr>
            <w:tcW w:type="dxa" w:w="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0%</w:t>
            </w:r>
          </w:p>
        </w:tc>
        <w:tc>
          <w:tcPr>
            <w:tcW w:type="dxa" w:w="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20%</w:t>
            </w:r>
          </w:p>
        </w:tc>
        <w:tc>
          <w:tcPr>
            <w:tcW w:type="dxa" w:w="20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$240,000</w:t>
            </w:r>
          </w:p>
        </w:tc>
      </w:tr>
      <w:tr>
        <w:trPr>
          <w:cantSplit/>
        </w:trPr>
        <w:tc>
          <w:tcPr>
            <w:tcW w:type="dxa" w:w="60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11</w:t>
            </w:r>
          </w:p>
        </w:tc>
        <w:tc>
          <w:tcPr>
            <w:tcW w:type="dxa" w:w="358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Drywall assemblies - installation plus staged materials</w:t>
            </w:r>
          </w:p>
        </w:tc>
        <w:tc>
          <w:tcPr>
            <w:tcW w:type="dxa" w:w="144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$1,600,000</w:t>
            </w:r>
          </w:p>
        </w:tc>
        <w:tc>
          <w:tcPr>
            <w:tcW w:type="dxa" w:w="85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0%</w:t>
            </w:r>
          </w:p>
        </w:tc>
        <w:tc>
          <w:tcPr>
            <w:tcW w:type="dxa" w:w="85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25%</w:t>
            </w:r>
          </w:p>
        </w:tc>
        <w:tc>
          <w:tcPr>
            <w:tcW w:type="dxa" w:w="204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$400,000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12</w:t>
            </w:r>
          </w:p>
        </w:tc>
        <w:tc>
          <w:tcPr>
            <w:tcW w:type="dxa" w:w="35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Interior finishes, ceilings, doors and fixtures</w:t>
            </w:r>
          </w:p>
        </w:tc>
        <w:tc>
          <w:tcPr>
            <w:tcW w:type="dxa" w:w="14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$2,200,000</w:t>
            </w:r>
          </w:p>
        </w:tc>
        <w:tc>
          <w:tcPr>
            <w:tcW w:type="dxa" w:w="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0%</w:t>
            </w:r>
          </w:p>
        </w:tc>
        <w:tc>
          <w:tcPr>
            <w:tcW w:type="dxa" w:w="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0%</w:t>
            </w:r>
          </w:p>
        </w:tc>
        <w:tc>
          <w:tcPr>
            <w:tcW w:type="dxa" w:w="20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$0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13</w:t>
            </w:r>
          </w:p>
        </w:tc>
        <w:tc>
          <w:tcPr>
            <w:tcW w:type="dxa" w:w="35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Security integration and mission systems</w:t>
            </w:r>
          </w:p>
        </w:tc>
        <w:tc>
          <w:tcPr>
            <w:tcW w:type="dxa" w:w="14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$2,100,000</w:t>
            </w:r>
          </w:p>
        </w:tc>
        <w:tc>
          <w:tcPr>
            <w:tcW w:type="dxa" w:w="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0%</w:t>
            </w:r>
          </w:p>
        </w:tc>
        <w:tc>
          <w:tcPr>
            <w:tcW w:type="dxa" w:w="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10%</w:t>
            </w:r>
          </w:p>
        </w:tc>
        <w:tc>
          <w:tcPr>
            <w:tcW w:type="dxa" w:w="20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$210,000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14</w:t>
            </w:r>
          </w:p>
        </w:tc>
        <w:tc>
          <w:tcPr>
            <w:tcW w:type="dxa" w:w="35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Testing, training and closeout</w:t>
            </w:r>
          </w:p>
        </w:tc>
        <w:tc>
          <w:tcPr>
            <w:tcW w:type="dxa" w:w="14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$900,000</w:t>
            </w:r>
          </w:p>
        </w:tc>
        <w:tc>
          <w:tcPr>
            <w:tcW w:type="dxa" w:w="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0%</w:t>
            </w:r>
          </w:p>
        </w:tc>
        <w:tc>
          <w:tcPr>
            <w:tcW w:type="dxa" w:w="8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0%</w:t>
            </w:r>
          </w:p>
        </w:tc>
        <w:tc>
          <w:tcPr>
            <w:tcW w:type="dxa" w:w="20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4"/>
              </w:rPr>
              <w:t>$0</w:t>
            </w:r>
          </w:p>
        </w:tc>
      </w:tr>
      <w:tr>
        <w:trPr>
          <w:cantSplit/>
        </w:trPr>
        <w:tc>
          <w:tcPr>
            <w:tcW w:type="dxa" w:w="6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4"/>
              </w:rPr>
            </w:r>
          </w:p>
        </w:tc>
        <w:tc>
          <w:tcPr>
            <w:tcW w:type="dxa" w:w="358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4"/>
              </w:rPr>
              <w:t>TOTAL</w:t>
            </w:r>
          </w:p>
        </w:tc>
        <w:tc>
          <w:tcPr>
            <w:tcW w:type="dxa" w:w="144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4"/>
              </w:rPr>
              <w:t>$26,400,000</w:t>
            </w:r>
          </w:p>
        </w:tc>
        <w:tc>
          <w:tcPr>
            <w:tcW w:type="dxa" w:w="85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4"/>
              </w:rPr>
              <w:t>24.05%</w:t>
            </w:r>
          </w:p>
        </w:tc>
        <w:tc>
          <w:tcPr>
            <w:tcW w:type="dxa" w:w="85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4"/>
              </w:rPr>
              <w:t>42.54%</w:t>
            </w:r>
          </w:p>
        </w:tc>
        <w:tc>
          <w:tcPr>
            <w:tcW w:type="dxa" w:w="204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4"/>
              </w:rPr>
              <w:t>$4,880,000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40" w:after="40" w:line="252" w:lineRule="auto"/>
            </w:pPr>
            <w:r>
              <w:rPr>
                <w:rFonts w:ascii="Calibri" w:hAnsi="Calibri"/>
                <w:b/>
                <w:color w:val="2E74B5"/>
                <w:sz w:val="18"/>
              </w:rPr>
              <w:t xml:space="preserve">ARITHMETIC CHECK: </w:t>
            </w:r>
            <w:r>
              <w:rPr>
                <w:rFonts w:ascii="Calibri" w:hAnsi="Calibri"/>
                <w:color w:val="192530"/>
                <w:sz w:val="18"/>
              </w:rPr>
              <w:t>$11.23M cumulative earned value less $6.35M in prior approved payments equals the $4.88M current request.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5360"/>
        <w:gridCol w:w="4000"/>
      </w:tblGrid>
      <w:tr>
        <w:trPr>
          <w:tblHeader w:val="true"/>
          <w:cantSplit/>
        </w:trPr>
        <w:tc>
          <w:tcPr>
            <w:tcW w:type="dxa" w:w="536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Accepted for payment administration</w:t>
            </w:r>
          </w:p>
        </w:tc>
        <w:tc>
          <w:tcPr>
            <w:tcW w:type="dxa" w:w="40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Signature / date</w:t>
            </w:r>
          </w:p>
        </w:tc>
      </w:tr>
      <w:tr>
        <w:trPr>
          <w:cantSplit/>
        </w:trPr>
        <w:tc>
          <w:tcPr>
            <w:tcW w:type="dxa" w:w="53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Maj Emma Emmerich, Contracting Officer, 713 CONS</w:t>
            </w:r>
          </w:p>
        </w:tc>
        <w:tc>
          <w:tcPr>
            <w:tcW w:type="dxa" w:w="40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/s/ Emma Emmerich - 18 Mar 2027</w:t>
            </w:r>
          </w:p>
        </w:tc>
      </w:tr>
      <w:tr>
        <w:trPr>
          <w:cantSplit/>
        </w:trPr>
        <w:tc>
          <w:tcPr>
            <w:tcW w:type="dxa" w:w="53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Hot Coldman, President, Peace Walker Infrastructure Partners</w:t>
            </w:r>
          </w:p>
        </w:tc>
        <w:tc>
          <w:tcPr>
            <w:tcW w:type="dxa" w:w="40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/s/ Hot Coldman - 18 Mar 2027</w:t>
            </w:r>
          </w:p>
        </w:tc>
      </w:tr>
    </w:tbl>
    <w:p>
      <w:pPr>
        <w:keepNext/>
        <w:pageBreakBefore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CURRENT EARNED-VALUE SUPPORT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Installed work and delivered material - Payment Request No. 005</w:t>
      </w:r>
    </w:p>
    <w:p>
      <w:pPr>
        <w:keepLines/>
        <w:spacing w:before="0" w:after="100" w:line="264" w:lineRule="auto"/>
        <w:ind w:left="0"/>
      </w:pPr>
      <w:r>
        <w:rPr>
          <w:rFonts w:ascii="Calibri" w:hAnsi="Calibri"/>
          <w:color w:val="192530"/>
          <w:sz w:val="22"/>
        </w:rPr>
        <w:t>The accepted schedule separately weights physical installation and August delivery-and-staging milestones for permanent materials and equipment incorporated into the project. Payment Request No. 005 claims exactly those scheduled amounts.</w:t>
      </w:r>
    </w:p>
    <w:p>
      <w:pPr>
        <w:pStyle w:val="Heading1"/>
        <w:keepNext/>
      </w:pPr>
      <w:r>
        <w:t>Progress-payment history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800"/>
        <w:gridCol w:w="1450"/>
        <w:gridCol w:w="1100"/>
        <w:gridCol w:w="1100"/>
        <w:gridCol w:w="2360"/>
        <w:gridCol w:w="2550"/>
      </w:tblGrid>
      <w:tr>
        <w:trPr>
          <w:tblHeader w:val="true"/>
          <w:cantSplit/>
        </w:trPr>
        <w:tc>
          <w:tcPr>
            <w:tcW w:type="dxa" w:w="8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Request</w:t>
            </w:r>
          </w:p>
        </w:tc>
        <w:tc>
          <w:tcPr>
            <w:tcW w:type="dxa" w:w="145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Period ending</w:t>
            </w:r>
          </w:p>
        </w:tc>
        <w:tc>
          <w:tcPr>
            <w:tcW w:type="dxa" w:w="11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Submitted</w:t>
            </w:r>
          </w:p>
        </w:tc>
        <w:tc>
          <w:tcPr>
            <w:tcW w:type="dxa" w:w="11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Approved</w:t>
            </w:r>
          </w:p>
        </w:tc>
        <w:tc>
          <w:tcPr>
            <w:tcW w:type="dxa" w:w="236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Net payment</w:t>
            </w:r>
          </w:p>
        </w:tc>
        <w:tc>
          <w:tcPr>
            <w:tcW w:type="dxa" w:w="255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Cumulative</w:t>
            </w:r>
          </w:p>
        </w:tc>
      </w:tr>
      <w:tr>
        <w:trPr>
          <w:cantSplit/>
        </w:trPr>
        <w:tc>
          <w:tcPr>
            <w:tcW w:type="dxa" w:w="8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001</w:t>
            </w:r>
          </w:p>
        </w:tc>
        <w:tc>
          <w:tcPr>
            <w:tcW w:type="dxa" w:w="1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30 Apr 2027</w:t>
            </w:r>
          </w:p>
        </w:tc>
        <w:tc>
          <w:tcPr>
            <w:tcW w:type="dxa" w:w="11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3 May</w:t>
            </w:r>
          </w:p>
        </w:tc>
        <w:tc>
          <w:tcPr>
            <w:tcW w:type="dxa" w:w="11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10 May</w:t>
            </w:r>
          </w:p>
        </w:tc>
        <w:tc>
          <w:tcPr>
            <w:tcW w:type="dxa" w:w="23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$1,750,000</w:t>
            </w:r>
          </w:p>
        </w:tc>
        <w:tc>
          <w:tcPr>
            <w:tcW w:type="dxa" w:w="25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$1,750,000</w:t>
            </w:r>
          </w:p>
        </w:tc>
      </w:tr>
      <w:tr>
        <w:trPr>
          <w:cantSplit/>
        </w:trPr>
        <w:tc>
          <w:tcPr>
            <w:tcW w:type="dxa" w:w="8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002</w:t>
            </w:r>
          </w:p>
        </w:tc>
        <w:tc>
          <w:tcPr>
            <w:tcW w:type="dxa" w:w="1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31 May 2027</w:t>
            </w:r>
          </w:p>
        </w:tc>
        <w:tc>
          <w:tcPr>
            <w:tcW w:type="dxa" w:w="11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2 Jun</w:t>
            </w:r>
          </w:p>
        </w:tc>
        <w:tc>
          <w:tcPr>
            <w:tcW w:type="dxa" w:w="11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9 Jun</w:t>
            </w:r>
          </w:p>
        </w:tc>
        <w:tc>
          <w:tcPr>
            <w:tcW w:type="dxa" w:w="23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$1,600,000</w:t>
            </w:r>
          </w:p>
        </w:tc>
        <w:tc>
          <w:tcPr>
            <w:tcW w:type="dxa" w:w="25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$3,350,000</w:t>
            </w:r>
          </w:p>
        </w:tc>
      </w:tr>
      <w:tr>
        <w:trPr>
          <w:cantSplit/>
        </w:trPr>
        <w:tc>
          <w:tcPr>
            <w:tcW w:type="dxa" w:w="8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003</w:t>
            </w:r>
          </w:p>
        </w:tc>
        <w:tc>
          <w:tcPr>
            <w:tcW w:type="dxa" w:w="1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30 Jun 2027</w:t>
            </w:r>
          </w:p>
        </w:tc>
        <w:tc>
          <w:tcPr>
            <w:tcW w:type="dxa" w:w="11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2 Jul</w:t>
            </w:r>
          </w:p>
        </w:tc>
        <w:tc>
          <w:tcPr>
            <w:tcW w:type="dxa" w:w="11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9 Jul</w:t>
            </w:r>
          </w:p>
        </w:tc>
        <w:tc>
          <w:tcPr>
            <w:tcW w:type="dxa" w:w="23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$1,450,000</w:t>
            </w:r>
          </w:p>
        </w:tc>
        <w:tc>
          <w:tcPr>
            <w:tcW w:type="dxa" w:w="25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$4,800,000</w:t>
            </w:r>
          </w:p>
        </w:tc>
      </w:tr>
      <w:tr>
        <w:trPr>
          <w:cantSplit/>
        </w:trPr>
        <w:tc>
          <w:tcPr>
            <w:tcW w:type="dxa" w:w="8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004</w:t>
            </w:r>
          </w:p>
        </w:tc>
        <w:tc>
          <w:tcPr>
            <w:tcW w:type="dxa" w:w="1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31 Jul 2027</w:t>
            </w:r>
          </w:p>
        </w:tc>
        <w:tc>
          <w:tcPr>
            <w:tcW w:type="dxa" w:w="11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2 Aug</w:t>
            </w:r>
          </w:p>
        </w:tc>
        <w:tc>
          <w:tcPr>
            <w:tcW w:type="dxa" w:w="11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9 Aug</w:t>
            </w:r>
          </w:p>
        </w:tc>
        <w:tc>
          <w:tcPr>
            <w:tcW w:type="dxa" w:w="23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$1,550,000</w:t>
            </w:r>
          </w:p>
        </w:tc>
        <w:tc>
          <w:tcPr>
            <w:tcW w:type="dxa" w:w="25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$6,350,000</w:t>
            </w:r>
          </w:p>
        </w:tc>
      </w:tr>
      <w:tr>
        <w:trPr>
          <w:cantSplit/>
        </w:trPr>
        <w:tc>
          <w:tcPr>
            <w:tcW w:type="dxa" w:w="80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005</w:t>
            </w:r>
          </w:p>
        </w:tc>
        <w:tc>
          <w:tcPr>
            <w:tcW w:type="dxa" w:w="145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20 Aug 2027</w:t>
            </w:r>
          </w:p>
        </w:tc>
        <w:tc>
          <w:tcPr>
            <w:tcW w:type="dxa" w:w="110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24 Aug</w:t>
            </w:r>
          </w:p>
        </w:tc>
        <w:tc>
          <w:tcPr>
            <w:tcW w:type="dxa" w:w="110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PENDING</w:t>
            </w:r>
          </w:p>
        </w:tc>
        <w:tc>
          <w:tcPr>
            <w:tcW w:type="dxa" w:w="236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$4,880,000</w:t>
            </w:r>
          </w:p>
        </w:tc>
        <w:tc>
          <w:tcPr>
            <w:tcW w:type="dxa" w:w="255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$11,230,000</w:t>
            </w:r>
          </w:p>
        </w:tc>
      </w:tr>
    </w:tbl>
    <w:p>
      <w:pPr>
        <w:pStyle w:val="Heading1"/>
        <w:keepNext/>
      </w:pPr>
      <w:r>
        <w:t>Accepted August milestones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3960"/>
        <w:gridCol w:w="1740"/>
        <w:gridCol w:w="1740"/>
        <w:gridCol w:w="1920"/>
      </w:tblGrid>
      <w:tr>
        <w:trPr>
          <w:tblHeader w:val="true"/>
          <w:cantSplit/>
        </w:trPr>
        <w:tc>
          <w:tcPr>
            <w:tcW w:type="dxa" w:w="396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Schedule milestone</w:t>
            </w:r>
          </w:p>
        </w:tc>
        <w:tc>
          <w:tcPr>
            <w:tcW w:type="dxa" w:w="174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August plan</w:t>
            </w:r>
          </w:p>
        </w:tc>
        <w:tc>
          <w:tcPr>
            <w:tcW w:type="dxa" w:w="174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Achieved</w:t>
            </w:r>
          </w:p>
        </w:tc>
        <w:tc>
          <w:tcPr>
            <w:tcW w:type="dxa" w:w="192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Requested this month</w:t>
            </w:r>
          </w:p>
        </w:tc>
      </w:tr>
      <w:tr>
        <w:trPr>
          <w:cantSplit/>
        </w:trPr>
        <w:tc>
          <w:tcPr>
            <w:tcW w:type="dxa" w:w="39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Electrical installation</w:t>
            </w:r>
          </w:p>
        </w:tc>
        <w:tc>
          <w:tcPr>
            <w:tcW w:type="dxa" w:w="17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17% / $544,000</w:t>
            </w:r>
          </w:p>
        </w:tc>
        <w:tc>
          <w:tcPr>
            <w:tcW w:type="dxa" w:w="17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17% / $544,000</w:t>
            </w:r>
          </w:p>
        </w:tc>
        <w:tc>
          <w:tcPr>
            <w:tcW w:type="dxa" w:w="19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$544,000</w:t>
            </w:r>
          </w:p>
        </w:tc>
      </w:tr>
      <w:tr>
        <w:trPr>
          <w:cantSplit/>
        </w:trPr>
        <w:tc>
          <w:tcPr>
            <w:tcW w:type="dxa" w:w="396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Electrical permanent materials/equipment staging</w:t>
            </w:r>
          </w:p>
        </w:tc>
        <w:tc>
          <w:tcPr>
            <w:tcW w:type="dxa" w:w="174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13% / $416,000</w:t>
            </w:r>
          </w:p>
        </w:tc>
        <w:tc>
          <w:tcPr>
            <w:tcW w:type="dxa" w:w="174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13% / $416,000</w:t>
            </w:r>
          </w:p>
        </w:tc>
        <w:tc>
          <w:tcPr>
            <w:tcW w:type="dxa" w:w="192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$416,000</w:t>
            </w:r>
          </w:p>
        </w:tc>
      </w:tr>
      <w:tr>
        <w:trPr>
          <w:cantSplit/>
        </w:trPr>
        <w:tc>
          <w:tcPr>
            <w:tcW w:type="dxa" w:w="39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HVAC installation</w:t>
            </w:r>
          </w:p>
        </w:tc>
        <w:tc>
          <w:tcPr>
            <w:tcW w:type="dxa" w:w="17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10% / $400,000</w:t>
            </w:r>
          </w:p>
        </w:tc>
        <w:tc>
          <w:tcPr>
            <w:tcW w:type="dxa" w:w="17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10% / $400,000</w:t>
            </w:r>
          </w:p>
        </w:tc>
        <w:tc>
          <w:tcPr>
            <w:tcW w:type="dxa" w:w="19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$400,000</w:t>
            </w:r>
          </w:p>
        </w:tc>
      </w:tr>
      <w:tr>
        <w:trPr>
          <w:cantSplit/>
        </w:trPr>
        <w:tc>
          <w:tcPr>
            <w:tcW w:type="dxa" w:w="396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HVAC permanent equipment/material staging</w:t>
            </w:r>
          </w:p>
        </w:tc>
        <w:tc>
          <w:tcPr>
            <w:tcW w:type="dxa" w:w="174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30% / $1,200,000</w:t>
            </w:r>
          </w:p>
        </w:tc>
        <w:tc>
          <w:tcPr>
            <w:tcW w:type="dxa" w:w="174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30% / $1,200,000</w:t>
            </w:r>
          </w:p>
        </w:tc>
        <w:tc>
          <w:tcPr>
            <w:tcW w:type="dxa" w:w="192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$1,200,000</w:t>
            </w:r>
          </w:p>
        </w:tc>
      </w:tr>
      <w:tr>
        <w:trPr>
          <w:cantSplit/>
        </w:trPr>
        <w:tc>
          <w:tcPr>
            <w:tcW w:type="dxa" w:w="396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Drywall material staging</w:t>
            </w:r>
          </w:p>
        </w:tc>
        <w:tc>
          <w:tcPr>
            <w:tcW w:type="dxa" w:w="174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25% / $400,000</w:t>
            </w:r>
          </w:p>
        </w:tc>
        <w:tc>
          <w:tcPr>
            <w:tcW w:type="dxa" w:w="174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25% / $400,000</w:t>
            </w:r>
          </w:p>
        </w:tc>
        <w:tc>
          <w:tcPr>
            <w:tcW w:type="dxa" w:w="192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$400,000</w:t>
            </w:r>
          </w:p>
        </w:tc>
      </w:tr>
      <w:tr>
        <w:trPr>
          <w:cantSplit/>
        </w:trPr>
        <w:tc>
          <w:tcPr>
            <w:tcW w:type="dxa" w:w="39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OTHER SOV 01-07, 10 and 13 MILESTONES</w:t>
            </w:r>
          </w:p>
        </w:tc>
        <w:tc>
          <w:tcPr>
            <w:tcW w:type="dxa" w:w="17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$1,920,000</w:t>
            </w:r>
          </w:p>
        </w:tc>
        <w:tc>
          <w:tcPr>
            <w:tcW w:type="dxa" w:w="17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$1,920,000</w:t>
            </w:r>
          </w:p>
        </w:tc>
        <w:tc>
          <w:tcPr>
            <w:tcW w:type="dxa" w:w="19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$1,920,000</w:t>
            </w:r>
          </w:p>
        </w:tc>
      </w:tr>
      <w:tr>
        <w:trPr>
          <w:cantSplit/>
        </w:trPr>
        <w:tc>
          <w:tcPr>
            <w:tcW w:type="dxa" w:w="396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TOTAL CURRENT REQUEST</w:t>
            </w:r>
          </w:p>
        </w:tc>
        <w:tc>
          <w:tcPr>
            <w:tcW w:type="dxa" w:w="174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$4,880,000</w:t>
            </w:r>
          </w:p>
        </w:tc>
        <w:tc>
          <w:tcPr>
            <w:tcW w:type="dxa" w:w="174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$4,880,000</w:t>
            </w:r>
          </w:p>
        </w:tc>
        <w:tc>
          <w:tcPr>
            <w:tcW w:type="dxa" w:w="192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$4,880,000</w:t>
            </w:r>
          </w:p>
        </w:tc>
      </w:tr>
    </w:tbl>
    <w:p>
      <w:pPr>
        <w:pStyle w:val="Heading1"/>
        <w:keepNext/>
      </w:pPr>
      <w:r>
        <w:t>Delivered-material and permanent-equipment register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1300"/>
        <w:gridCol w:w="3260"/>
        <w:gridCol w:w="3040"/>
        <w:gridCol w:w="1760"/>
      </w:tblGrid>
      <w:tr>
        <w:trPr>
          <w:tblHeader w:val="true"/>
          <w:cantSplit/>
        </w:trPr>
        <w:tc>
          <w:tcPr>
            <w:tcW w:type="dxa" w:w="13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Work</w:t>
            </w:r>
          </w:p>
        </w:tc>
        <w:tc>
          <w:tcPr>
            <w:tcW w:type="dxa" w:w="326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Material staged for this order</w:t>
            </w:r>
          </w:p>
        </w:tc>
        <w:tc>
          <w:tcPr>
            <w:tcW w:type="dxa" w:w="304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Delivery / location</w:t>
            </w:r>
          </w:p>
        </w:tc>
        <w:tc>
          <w:tcPr>
            <w:tcW w:type="dxa" w:w="176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Schedule credit</w:t>
            </w:r>
          </w:p>
        </w:tc>
      </w:tr>
      <w:tr>
        <w:trPr>
          <w:cantSplit/>
        </w:trPr>
        <w:tc>
          <w:tcPr>
            <w:tcW w:type="dxa" w:w="13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Electrical</w:t>
            </w:r>
          </w:p>
        </w:tc>
        <w:tc>
          <w:tcPr>
            <w:tcW w:type="dxa" w:w="32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Switchgear panels, feeders, cable reels and devices</w:t>
            </w:r>
          </w:p>
        </w:tc>
        <w:tc>
          <w:tcPr>
            <w:tcW w:type="dxa" w:w="30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ER-219; 16 Aug; secured east laydown</w:t>
            </w:r>
          </w:p>
        </w:tc>
        <w:tc>
          <w:tcPr>
            <w:tcW w:type="dxa" w:w="1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$416,000 / 13%</w:t>
            </w:r>
          </w:p>
        </w:tc>
      </w:tr>
      <w:tr>
        <w:trPr>
          <w:cantSplit/>
        </w:trPr>
        <w:tc>
          <w:tcPr>
            <w:tcW w:type="dxa" w:w="13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HVAC</w:t>
            </w:r>
          </w:p>
        </w:tc>
        <w:tc>
          <w:tcPr>
            <w:tcW w:type="dxa" w:w="32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Air handlers, duct sections, controls and supports</w:t>
            </w:r>
          </w:p>
        </w:tc>
        <w:tc>
          <w:tcPr>
            <w:tcW w:type="dxa" w:w="30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MR-441; 17 Aug; weatherproof mechanical staging</w:t>
            </w:r>
          </w:p>
        </w:tc>
        <w:tc>
          <w:tcPr>
            <w:tcW w:type="dxa" w:w="1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$1,200,000 / 30%</w:t>
            </w:r>
          </w:p>
        </w:tc>
      </w:tr>
      <w:tr>
        <w:trPr>
          <w:cantSplit/>
        </w:trPr>
        <w:tc>
          <w:tcPr>
            <w:tcW w:type="dxa" w:w="13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Drywall</w:t>
            </w:r>
          </w:p>
        </w:tc>
        <w:tc>
          <w:tcPr>
            <w:tcW w:type="dxa" w:w="32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Gypsum board, metal framing and accessories</w:t>
            </w:r>
          </w:p>
        </w:tc>
        <w:tc>
          <w:tcPr>
            <w:tcW w:type="dxa" w:w="30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IR-308; 18 Aug; enclosed Building 412 storage</w:t>
            </w:r>
          </w:p>
        </w:tc>
        <w:tc>
          <w:tcPr>
            <w:tcW w:type="dxa" w:w="1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$400,000 / 25%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40" w:after="40" w:line="252" w:lineRule="auto"/>
            </w:pPr>
            <w:r>
              <w:rPr>
                <w:rFonts w:ascii="Calibri" w:hAnsi="Calibri"/>
                <w:b/>
                <w:color w:val="2E74B5"/>
                <w:sz w:val="18"/>
              </w:rPr>
              <w:t xml:space="preserve">MATERIAL-CREDIT RECORD: </w:t>
            </w:r>
            <w:r>
              <w:rPr>
                <w:rFonts w:ascii="Calibri" w:hAnsi="Calibri"/>
                <w:color w:val="192530"/>
                <w:sz w:val="18"/>
              </w:rPr>
              <w:t>The 18 March accepted schedule authorizes the stated August weights for permanent material and equipment delivered on site. Receiving tickets, paid supplier invoices, joint inventory sheets, contract-use identification, and protected-storage records are maintained in the contractor file. The listed items have not been included in a prior payment, and the requested staging credit exactly matches the accepted schedule.</w:t>
            </w:r>
          </w:p>
        </w:tc>
      </w:tr>
    </w:tbl>
    <w:p>
      <w:pPr>
        <w:keepLines/>
        <w:spacing w:before="0" w:after="40" w:line="252" w:lineRule="auto"/>
      </w:pPr>
      <w:r>
        <w:rPr>
          <w:rFonts w:ascii="Calibri" w:hAnsi="Calibri"/>
          <w:b/>
          <w:color w:val="192530"/>
          <w:sz w:val="22"/>
        </w:rPr>
        <w:t xml:space="preserve">CONTRACTOR: </w:t>
      </w:r>
      <w:r>
        <w:rPr>
          <w:rFonts w:ascii="Calibri" w:hAnsi="Calibri"/>
          <w:color w:val="192530"/>
          <w:sz w:val="22"/>
        </w:rPr>
        <w:t>/s/ Mistral - Project Controller - Peace Walker Infrastructure Partners, LLC - 24 Aug 2027</w:t>
      </w:r>
    </w:p>
    <w:p>
      <w:pPr>
        <w:keepLines/>
        <w:spacing w:before="0" w:after="0" w:line="252" w:lineRule="auto"/>
      </w:pPr>
      <w:r>
        <w:rPr>
          <w:rFonts w:ascii="Calibri" w:hAnsi="Calibri"/>
          <w:b/>
          <w:color w:val="192530"/>
          <w:sz w:val="22"/>
        </w:rPr>
        <w:t xml:space="preserve">JOINT INVENTORY: </w:t>
      </w:r>
      <w:r>
        <w:rPr>
          <w:rFonts w:ascii="Calibri" w:hAnsi="Calibri"/>
          <w:color w:val="192530"/>
          <w:sz w:val="22"/>
        </w:rPr>
        <w:t>/s/ Meryl Silverburgh - Construction Inspector - 713 CES - 21 Aug 2027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1123" w:bottom="792" w:left="1123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D-02  |  PROGRESS SCHEDULE AND PAYMENT SUPPORT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64" w:lineRule="auto"/>
    </w:pPr>
    <w:rPr>
      <w:rFonts w:ascii="Calibri" w:hAnsi="Calibri"/>
      <w:color w:val="192530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D-02 Campbell Hall Progress Schedule and Payment Support</dc:title>
  <dc:subject>Prompt-only accepted schedule, prior-payment history, and earned-value support for Payment Request No. 005</dc:subject>
  <dc:creator>Peace Walker Infrastructure Partners, LLC</dc:creator>
  <cp:keywords>training, construction, progress payment, FAR 52.232-5</cp:keywords>
  <dc:description>Training use only. All names, places, dates, values, and requirements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