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40"/>
      </w:pPr>
      <w:r>
        <w:rPr>
          <w:rFonts w:ascii="Aptos" w:hAnsi="Aptos"/>
          <w:b/>
          <w:color w:val="8E4F47"/>
          <w:sz w:val="16"/>
        </w:rPr>
        <w:t>PL-27-021  |  PLANNING RECORD</w:t>
      </w:r>
    </w:p>
    <w:p>
      <w:pPr>
        <w:spacing w:after="20"/>
      </w:pPr>
      <w:r>
        <w:rPr>
          <w:rFonts w:ascii="Aptos" w:hAnsi="Aptos"/>
          <w:b/>
          <w:color w:val="173746"/>
          <w:sz w:val="39"/>
        </w:rPr>
        <w:t>Community Support Center renovation</w:t>
      </w:r>
    </w:p>
    <w:p>
      <w:pPr>
        <w:spacing w:after="140"/>
      </w:pPr>
      <w:r>
        <w:rPr>
          <w:rFonts w:ascii="Aptos" w:hAnsi="Aptos"/>
          <w:b/>
          <w:color w:val="527082"/>
          <w:sz w:val="18"/>
        </w:rPr>
        <w:t>Mother Base Community Support Center · Shadow Moses Air Field, Alaska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8338"/>
      </w:tblGrid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REQUIRING ACTIVITY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Community Services Flight, 713th Force Support Squadron (713 FSS)</w:t>
            </w:r>
          </w:p>
        </w:tc>
      </w:tr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TECHNICAL SUPPORT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Engineering Flight, 713th Civil Engineer Squadron (713 CES)</w:t>
            </w:r>
          </w:p>
        </w:tc>
      </w:tr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MISSION PRIORITY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High — equal in installation priority to the Campbell Hall headquarters renovation</w:t>
            </w:r>
          </w:p>
        </w:tc>
      </w:tr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FACILITY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Existing rectangular community-support building; approximately 28,000 gross square feet</w:t>
            </w:r>
          </w:p>
        </w:tc>
      </w:tr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PLANNING STATUS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Major-renovation requirement development only; no solicitation or award is authorized</w:t>
            </w:r>
          </w:p>
        </w:tc>
      </w:tr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FUNDING STATUS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No funds are currently certified or available for obligation</w:t>
            </w:r>
          </w:p>
        </w:tc>
      </w:tr>
    </w:tbl>
    <w:p>
      <w:pPr>
        <w:spacing w:before="80" w:after="60"/>
      </w:pPr>
      <w:r>
        <w:rPr>
          <w:rFonts w:ascii="Aptos" w:hAnsi="Aptos"/>
          <w:b/>
          <w:color w:val="8E4F47"/>
          <w:sz w:val="18"/>
        </w:rPr>
        <w:t>OPERATIONAL NEED</w:t>
      </w:r>
    </w:p>
    <w:p>
      <w:pPr>
        <w:spacing w:after="60"/>
      </w:pPr>
      <w:r>
        <w:rPr>
          <w:rFonts w:ascii="Aptos" w:hAnsi="Aptos"/>
          <w:b w:val="0"/>
          <w:color w:val="173746"/>
          <w:sz w:val="18"/>
        </w:rPr>
        <w:t>Return the Community Support Center to reliable long-term operation for installation recreation, family-support services, community events, administrative functions, and meal-support activities. The facility is required for sustained base operations, but construction cannot begin until a funded and approved acquisition is established.</w:t>
      </w:r>
    </w:p>
    <w:p>
      <w:pPr>
        <w:spacing w:before="80" w:after="60"/>
      </w:pPr>
      <w:r>
        <w:rPr>
          <w:rFonts w:ascii="Aptos" w:hAnsi="Aptos"/>
          <w:b/>
          <w:color w:val="8E4F47"/>
          <w:sz w:val="18"/>
        </w:rPr>
        <w:t>BROAD REQUIREMENT</w:t>
      </w:r>
    </w:p>
    <w:p>
      <w:pPr>
        <w:spacing w:after="40"/>
        <w:ind w:left="259" w:hanging="187"/>
      </w:pPr>
      <w:r>
        <w:rPr>
          <w:rFonts w:ascii="Aptos" w:hAnsi="Aptos"/>
          <w:b/>
          <w:color w:val="8E4F47"/>
          <w:sz w:val="18"/>
        </w:rPr>
        <w:t xml:space="preserve">• </w:t>
      </w:r>
      <w:r>
        <w:rPr>
          <w:rFonts w:ascii="Aptos" w:hAnsi="Aptos"/>
          <w:b w:val="0"/>
          <w:color w:val="173746"/>
          <w:sz w:val="18"/>
        </w:rPr>
        <w:t>Plan a whole-building major renovation; the detailed condition assessment and final technical scope remain in development.</w:t>
      </w:r>
    </w:p>
    <w:p>
      <w:pPr>
        <w:spacing w:after="40"/>
        <w:ind w:left="259" w:hanging="187"/>
      </w:pPr>
      <w:r>
        <w:rPr>
          <w:rFonts w:ascii="Aptos" w:hAnsi="Aptos"/>
          <w:b/>
          <w:color w:val="8E4F47"/>
          <w:sz w:val="18"/>
        </w:rPr>
        <w:t xml:space="preserve">• </w:t>
      </w:r>
      <w:r>
        <w:rPr>
          <w:rFonts w:ascii="Aptos" w:hAnsi="Aptos"/>
          <w:b w:val="0"/>
          <w:color w:val="173746"/>
          <w:sz w:val="18"/>
        </w:rPr>
        <w:t>Preserve the building's community hall, recreation and activity rooms, administrative areas, commercial kitchen, dining area, and support spaces.</w:t>
      </w:r>
    </w:p>
    <w:p>
      <w:pPr>
        <w:spacing w:after="40"/>
        <w:ind w:left="259" w:hanging="187"/>
      </w:pPr>
      <w:r>
        <w:rPr>
          <w:rFonts w:ascii="Aptos" w:hAnsi="Aptos"/>
          <w:b/>
          <w:color w:val="8E4F47"/>
          <w:sz w:val="18"/>
        </w:rPr>
        <w:t xml:space="preserve">• </w:t>
      </w:r>
      <w:r>
        <w:rPr>
          <w:rFonts w:ascii="Aptos" w:hAnsi="Aptos"/>
          <w:b w:val="0"/>
          <w:color w:val="173746"/>
          <w:sz w:val="18"/>
        </w:rPr>
        <w:t>Use the existing building footprint as the planning basis. The general age, gross area, and rectangular form are similar to Campbell Hall.</w:t>
      </w:r>
    </w:p>
    <w:p>
      <w:pPr>
        <w:spacing w:after="40"/>
        <w:ind w:left="259" w:hanging="187"/>
      </w:pPr>
      <w:r>
        <w:rPr>
          <w:rFonts w:ascii="Aptos" w:hAnsi="Aptos"/>
          <w:b/>
          <w:color w:val="8E4F47"/>
          <w:sz w:val="18"/>
        </w:rPr>
        <w:t xml:space="preserve">• </w:t>
      </w:r>
      <w:r>
        <w:rPr>
          <w:rFonts w:ascii="Aptos" w:hAnsi="Aptos"/>
          <w:b w:val="0"/>
          <w:color w:val="173746"/>
          <w:sz w:val="18"/>
        </w:rPr>
        <w:t>Develop acquisition information without promising an award, directing contractor effort, or exceeding available planning authority.</w:t>
      </w:r>
    </w:p>
    <w:p>
      <w:pPr>
        <w:spacing w:before="80" w:after="60"/>
      </w:pPr>
      <w:r>
        <w:rPr>
          <w:rFonts w:ascii="Aptos" w:hAnsi="Aptos"/>
          <w:b/>
          <w:color w:val="8E4F47"/>
          <w:sz w:val="18"/>
        </w:rPr>
        <w:t>PLANNING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8338"/>
      </w:tblGrid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PORTFOLIO VALUE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$31.20 million preliminary planning estimate shown in M-03; detailed estimate remains separate</w:t>
            </w:r>
          </w:p>
        </w:tc>
      </w:tr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VEHICLE STATUS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No vehicle selected. Existing MACC and SABER records may be reviewed for potential applicability</w:t>
            </w:r>
          </w:p>
        </w:tc>
      </w:tr>
      <w:tr>
        <w:tc>
          <w:tcPr>
            <w:tcW w:type="dxa" w:w="2232"/>
            <w:shd w:fill="EAF1F5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/>
                <w:color w:val="527082"/>
                <w:sz w:val="15"/>
              </w:rPr>
              <w:t>IMMEDIATE ACTIONS</w:t>
            </w:r>
          </w:p>
        </w:tc>
        <w:tc>
          <w:tcPr>
            <w:tcW w:type="dxa" w:w="8338"/>
            <w:tcMar>
              <w:top w:w="55" w:type="dxa"/>
              <w:start w:w="90" w:type="dxa"/>
              <w:bottom w:w="55" w:type="dxa"/>
              <w:end w:w="90" w:type="dxa"/>
            </w:tcMar>
            <w:tcBorders>
              <w:top w:val="single" w:sz="5" w:color="B6C5CC"/>
              <w:left w:val="single" w:sz="5" w:color="B6C5CC"/>
              <w:bottom w:val="single" w:sz="5" w:color="B6C5CC"/>
              <w:right w:val="single" w:sz="5" w:color="B6C5CC"/>
              <w:insideH w:val="single" w:sz="5" w:color="B6C5CC"/>
              <w:insideV w:val="single" w:sz="5" w:color="B6C5CC"/>
            </w:tcBorders>
            <w:vAlign w:val="center"/>
          </w:tcPr>
          <w:p>
            <w:r>
              <w:rPr>
                <w:rFonts w:ascii="Aptos" w:hAnsi="Aptos"/>
                <w:b w:val="0"/>
                <w:color w:val="173746"/>
                <w:sz w:val="17"/>
              </w:rPr>
              <w:t>Requirement refinement, market research, schedule development, and acquisition-strategy review may begin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691" w:right="835" w:bottom="691" w:left="835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</w:tblPr>
    <w:tblGrid>
      <w:gridCol w:w="5285"/>
      <w:gridCol w:w="5285"/>
    </w:tblGrid>
    <w:tr>
      <w:tc>
        <w:tcPr>
          <w:tcW w:type="dxa" w:w="5285"/>
          <w:tcMar>
            <w:top w:w="35" w:type="dxa"/>
            <w:start w:w="90" w:type="dxa"/>
            <w:bottom w:w="20" w:type="dxa"/>
            <w:end w:w="90" w:type="dxa"/>
          </w:tcMar>
        </w:tcPr>
        <w:p>
          <w:r>
            <w:rPr>
              <w:rFonts w:ascii="Aptos" w:hAnsi="Aptos"/>
              <w:b/>
              <w:color w:val="8E4F47"/>
              <w:sz w:val="14"/>
            </w:rPr>
            <w:t>TRAINING USE ONLY  |  ALL INFORMATION FICTIONAL</w:t>
          </w:r>
        </w:p>
      </w:tc>
      <w:tc>
        <w:tcPr>
          <w:tcW w:type="dxa" w:w="5285"/>
          <w:tcMar>
            <w:top w:w="35" w:type="dxa"/>
            <w:start w:w="90" w:type="dxa"/>
            <w:bottom w:w="20" w:type="dxa"/>
            <w:end w:w="90" w:type="dxa"/>
          </w:tcMar>
        </w:tcPr>
        <w:p>
          <w:pPr>
            <w:jc w:val="right"/>
          </w:pPr>
          <w:r>
            <w:rPr>
              <w:rFonts w:ascii="Aptos" w:hAnsi="Aptos"/>
              <w:b/>
              <w:color w:val="527082"/>
              <w:sz w:val="14"/>
            </w:rPr>
            <w:t>SHADOW MOSES AIR FIELD  |  FY27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8352"/>
      <w:gridCol w:w="2218"/>
    </w:tblGrid>
    <w:tr>
      <w:tc>
        <w:tcPr>
          <w:tcW w:type="dxa" w:w="5285"/>
          <w:shd w:fill="173746"/>
          <w:tcMar>
            <w:top w:w="55" w:type="dxa"/>
            <w:start w:w="90" w:type="dxa"/>
            <w:bottom w:w="55" w:type="dxa"/>
            <w:end w:w="90" w:type="dxa"/>
          </w:tcMar>
        </w:tcPr>
        <w:p>
          <w:r>
            <w:rPr>
              <w:rFonts w:ascii="Aptos" w:hAnsi="Aptos"/>
              <w:b/>
              <w:color w:val="FFFFFF"/>
              <w:sz w:val="16"/>
            </w:rPr>
            <w:t>713TH FORCE SUPPORT SQUADRON  |  REQUIREMENT PLANNING</w:t>
          </w:r>
        </w:p>
      </w:tc>
      <w:tc>
        <w:tcPr>
          <w:tcW w:type="dxa" w:w="5285"/>
          <w:shd w:fill="173746"/>
          <w:tcMar>
            <w:top w:w="55" w:type="dxa"/>
            <w:start w:w="90" w:type="dxa"/>
            <w:bottom w:w="55" w:type="dxa"/>
            <w:end w:w="90" w:type="dxa"/>
          </w:tcMar>
        </w:tcPr>
        <w:p>
          <w:pPr>
            <w:jc w:val="right"/>
          </w:pPr>
          <w:r>
            <w:rPr>
              <w:rFonts w:ascii="Aptos" w:hAnsi="Aptos"/>
              <w:b/>
              <w:color w:val="FFFFFF"/>
              <w:sz w:val="21"/>
            </w:rPr>
            <w:t>E-01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color w:val="173746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E-01 Mother Base Community Support Center Requirement Summary</dc:title>
  <dc:subject>Fictional construction-contract training handout</dc:subject>
  <dc:creator>713th Force Support Squadron (fictional)</dc:creator>
  <cp:keywords>training, construction, requirement summary, community support center</cp:keywords>
  <dc:description>Training use only. All names, places, dates,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