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pacing w:before="100" w:after="40"/>
        <w:jc w:val="center"/>
      </w:pPr>
      <w:r>
        <w:rPr>
          <w:rFonts w:ascii="Calibri" w:hAnsi="Calibri"/>
          <w:b/>
          <w:color w:val="192530"/>
          <w:sz w:val="32"/>
        </w:rPr>
        <w:t>DEPARTMENT OF THE AIR FORCE</w:t>
      </w:r>
    </w:p>
    <w:p>
      <w:pPr>
        <w:keepNext/>
        <w:spacing w:before="0" w:after="280"/>
        <w:jc w:val="center"/>
      </w:pPr>
      <w:r>
        <w:rPr>
          <w:rFonts w:ascii="Calibri" w:hAnsi="Calibri"/>
          <w:b/>
          <w:color w:val="606A74"/>
          <w:sz w:val="21"/>
        </w:rPr>
        <w:t>SHADOW MOSES AIR FIELD, ALASKA</w:t>
      </w:r>
    </w:p>
    <w:p>
      <w:pPr>
        <w:keepNext/>
        <w:pageBreakBefore w:val="0"/>
        <w:spacing w:before="80" w:after="60"/>
        <w:jc w:val="center"/>
      </w:pPr>
      <w:r>
        <w:rPr>
          <w:rFonts w:ascii="Calibri" w:hAnsi="Calibri"/>
          <w:b/>
          <w:color w:val="192530"/>
          <w:sz w:val="32"/>
        </w:rPr>
        <w:t>FACILITY WORK COMPARISON</w:t>
      </w:r>
    </w:p>
    <w:p>
      <w:pPr>
        <w:keepNext/>
        <w:spacing w:before="0" w:after="200"/>
        <w:jc w:val="center"/>
      </w:pPr>
      <w:r>
        <w:rPr>
          <w:rFonts w:ascii="Calibri" w:hAnsi="Calibri"/>
          <w:b/>
          <w:color w:val="606A74"/>
          <w:sz w:val="21"/>
        </w:rPr>
        <w:t>E-06 | Community Support Center and Campbell Hall</w:t>
      </w:r>
    </w:p>
    <w:tbl>
      <w:tblPr>
        <w:tblStyle w:val="TableGrid"/>
        <w:tblW w:type="dxa" w:w="9360"/>
        <w:jc w:val="left"/>
        <w:tblLayout w:type="fixed"/>
        <w:tblLook w:firstColumn="1" w:firstRow="1" w:lastColumn="0" w:lastRow="0" w:noHBand="0" w:noVBand="1" w:val="04A0"/>
        <w:tblInd w:w="120" w:type="dxa"/>
        <w:tblBorders>
          <w:top w:val="single" w:sz="6" w:color="7C8791"/>
          <w:left w:val="single" w:sz="6" w:color="7C8791"/>
          <w:bottom w:val="single" w:sz="6" w:color="7C8791"/>
          <w:right w:val="single" w:sz="6" w:color="7C8791"/>
          <w:insideH w:val="single" w:sz="6" w:color="7C8791"/>
          <w:insideV w:val="single" w:sz="6" w:color="7C8791"/>
        </w:tblBorders>
      </w:tblPr>
      <w:tblGrid>
        <w:gridCol w:w="2500"/>
        <w:gridCol w:w="6860"/>
      </w:tblGrid>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Prepared</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5 July 2027 | Joint 713 CES / 713 CONS planning record</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Community Center</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PL-27-021 | 27,720 GSF | $31.20M Government planning estimate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Campbell Hall</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Task Order FA-27-005 | 28,260 GSF | $26.40M firm-fixed price</w:t>
            </w:r>
          </w:p>
        </w:tc>
      </w:tr>
      <w:tr>
        <w:tc>
          <w:tcPr>
            <w:tcW w:type="dxa" w:w="2500"/>
            <w:shd w:fill="F2F4F7"/>
            <w:vAlign w:val="center"/>
            <w:tcMar>
              <w:top w:w="100" w:type="dxa"/>
              <w:bottom w:w="100" w:type="dxa"/>
              <w:start w:w="120" w:type="dxa"/>
              <w:end w:w="120" w:type="dxa"/>
            </w:tcMar>
          </w:tcPr>
          <w:p>
            <w:pPr>
              <w:spacing w:before="0" w:after="0" w:line="240" w:lineRule="auto"/>
            </w:pPr>
            <w:r>
              <w:rPr>
                <w:rFonts w:ascii="Calibri" w:hAnsi="Calibri"/>
                <w:b/>
                <w:color w:val="192530"/>
                <w:sz w:val="18"/>
              </w:rPr>
              <w:t>Purpose</w:t>
            </w:r>
          </w:p>
        </w:tc>
        <w:tc>
          <w:tcPr>
            <w:tcW w:type="dxa" w:w="6860"/>
            <w:vAlign w:val="center"/>
            <w:tcMar>
              <w:top w:w="100" w:type="dxa"/>
              <w:bottom w:w="100" w:type="dxa"/>
              <w:start w:w="120" w:type="dxa"/>
              <w:end w:w="120" w:type="dxa"/>
            </w:tcMar>
          </w:tcPr>
          <w:p>
            <w:pPr>
              <w:spacing w:before="0" w:after="0" w:line="240" w:lineRule="auto"/>
            </w:pPr>
            <w:r>
              <w:rPr>
                <w:rFonts w:ascii="Calibri" w:hAnsi="Calibri"/>
                <w:b w:val="0"/>
                <w:color w:val="192530"/>
                <w:sz w:val="18"/>
              </w:rPr>
              <w:t>Place the known facility, work, material, and access facts in one side-by-side record</w:t>
            </w:r>
          </w:p>
        </w:tc>
      </w:tr>
    </w:tbl>
    <w:p>
      <w:pPr>
        <w:keepLines/>
        <w:spacing w:before="0" w:after="140" w:line="264" w:lineRule="auto"/>
        <w:ind w:left="0"/>
      </w:pPr>
      <w:r>
        <w:rPr>
          <w:rFonts w:ascii="Calibri" w:hAnsi="Calibri"/>
          <w:color w:val="192530"/>
          <w:sz w:val="22"/>
        </w:rPr>
        <w:t>The two existing buildings are close in gross area, were built in the same general era, and are high installation priorities. This comparison records the available technical and logistics information without making a contract-scope or acquisition determination.</w:t>
      </w:r>
    </w:p>
    <w:p>
      <w:pPr>
        <w:pStyle w:val="Heading1"/>
        <w:keepNext/>
      </w:pPr>
      <w:r>
        <w:t>Facility, work, and logistics</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1700"/>
        <w:gridCol w:w="3830"/>
        <w:gridCol w:w="3830"/>
      </w:tblGrid>
      <w:tr>
        <w:tc>
          <w:tcPr>
            <w:tcW w:type="dxa" w:w="1700"/>
            <w:shd w:fill="173746"/>
            <w:vAlign w:val="center"/>
            <w:tcMar>
              <w:top w:w="100" w:type="dxa"/>
              <w:bottom w:w="100" w:type="dxa"/>
              <w:start w:w="120" w:type="dxa"/>
              <w:end w:w="120" w:type="dxa"/>
            </w:tcMar>
          </w:tcPr>
          <w:p>
            <w:pPr>
              <w:spacing w:before="0" w:after="0" w:line="240" w:lineRule="auto"/>
              <w:jc w:val="center"/>
            </w:pPr>
            <w:r/>
            <w:r>
              <w:rPr>
                <w:rFonts w:ascii="Calibri" w:hAnsi="Calibri"/>
                <w:b/>
                <w:color w:val="FFFFFF"/>
                <w:sz w:val="16"/>
              </w:rPr>
              <w:t>Comparison factor</w:t>
            </w:r>
          </w:p>
        </w:tc>
        <w:tc>
          <w:tcPr>
            <w:tcW w:type="dxa" w:w="3830"/>
            <w:shd w:fill="173746"/>
            <w:vAlign w:val="center"/>
            <w:tcMar>
              <w:top w:w="100" w:type="dxa"/>
              <w:bottom w:w="100" w:type="dxa"/>
              <w:start w:w="120" w:type="dxa"/>
              <w:end w:w="120" w:type="dxa"/>
            </w:tcMar>
          </w:tcPr>
          <w:p>
            <w:pPr>
              <w:spacing w:before="0" w:after="0" w:line="240" w:lineRule="auto"/>
              <w:jc w:val="center"/>
            </w:pPr>
            <w:r/>
            <w:r>
              <w:rPr>
                <w:rFonts w:ascii="Calibri" w:hAnsi="Calibri"/>
                <w:b/>
                <w:color w:val="FFFFFF"/>
                <w:sz w:val="16"/>
              </w:rPr>
              <w:t>Community Support Center</w:t>
            </w:r>
          </w:p>
        </w:tc>
        <w:tc>
          <w:tcPr>
            <w:tcW w:type="dxa" w:w="3830"/>
            <w:shd w:fill="173746"/>
            <w:vAlign w:val="center"/>
            <w:tcMar>
              <w:top w:w="100" w:type="dxa"/>
              <w:bottom w:w="100" w:type="dxa"/>
              <w:start w:w="120" w:type="dxa"/>
              <w:end w:w="120" w:type="dxa"/>
            </w:tcMar>
          </w:tcPr>
          <w:p>
            <w:pPr>
              <w:spacing w:before="0" w:after="0" w:line="240" w:lineRule="auto"/>
              <w:jc w:val="center"/>
            </w:pPr>
            <w:r/>
            <w:r>
              <w:rPr>
                <w:rFonts w:ascii="Calibri" w:hAnsi="Calibri"/>
                <w:b/>
                <w:color w:val="FFFFFF"/>
                <w:sz w:val="16"/>
              </w:rPr>
              <w:t>Campbell Hall headquarters</w:t>
            </w:r>
          </w:p>
        </w:tc>
      </w:tr>
      <w:tr>
        <w:tc>
          <w:tcPr>
            <w:tcW w:type="dxa" w:w="1700"/>
            <w:shd w:fill="E8EEF5"/>
            <w:vAlign w:val="center"/>
            <w:tcMar>
              <w:top w:w="100" w:type="dxa"/>
              <w:bottom w:w="100" w:type="dxa"/>
              <w:start w:w="120" w:type="dxa"/>
              <w:end w:w="120" w:type="dxa"/>
            </w:tcMar>
          </w:tcPr>
          <w:p>
            <w:pPr>
              <w:spacing w:before="0" w:after="0" w:line="240" w:lineRule="auto"/>
              <w:jc w:val="left"/>
            </w:pPr>
            <w:r/>
            <w:r>
              <w:rPr>
                <w:rFonts w:ascii="Calibri" w:hAnsi="Calibri"/>
                <w:b/>
                <w:color w:val="606A74"/>
                <w:sz w:val="15"/>
              </w:rPr>
              <w:t>Primary use</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Community recreation, family support, public events, administration, commercial kitchen, and dining.</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Installation headquarters, command staff, secure briefing, communications, and mission-support functions.</w:t>
            </w:r>
          </w:p>
        </w:tc>
      </w:tr>
      <w:tr>
        <w:tc>
          <w:tcPr>
            <w:tcW w:type="dxa" w:w="1700"/>
            <w:shd w:fill="E8EEF5"/>
            <w:vAlign w:val="center"/>
            <w:tcMar>
              <w:top w:w="100" w:type="dxa"/>
              <w:bottom w:w="100" w:type="dxa"/>
              <w:start w:w="120" w:type="dxa"/>
              <w:end w:w="120" w:type="dxa"/>
            </w:tcMar>
          </w:tcPr>
          <w:p>
            <w:pPr>
              <w:spacing w:before="0" w:after="0" w:line="240" w:lineRule="auto"/>
              <w:jc w:val="left"/>
            </w:pPr>
            <w:r/>
            <w:r>
              <w:rPr>
                <w:rFonts w:ascii="Calibri" w:hAnsi="Calibri"/>
                <w:b/>
                <w:color w:val="606A74"/>
                <w:sz w:val="15"/>
              </w:rPr>
              <w:t>Floor plan</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Large central multipurpose hall with kitchen/dining, recreation, activity, family-support, and public circulation spaces.</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Compartmentalized offices, controlled corridors, briefing and mission spaces, communications rooms, and limited public circulation.</w:t>
            </w:r>
          </w:p>
        </w:tc>
      </w:tr>
      <w:tr>
        <w:tc>
          <w:tcPr>
            <w:tcW w:type="dxa" w:w="1700"/>
            <w:shd w:fill="E8EEF5"/>
            <w:vAlign w:val="center"/>
            <w:tcMar>
              <w:top w:w="100" w:type="dxa"/>
              <w:bottom w:w="100" w:type="dxa"/>
              <w:start w:w="120" w:type="dxa"/>
              <w:end w:w="120" w:type="dxa"/>
            </w:tcMar>
          </w:tcPr>
          <w:p>
            <w:pPr>
              <w:spacing w:before="0" w:after="0" w:line="240" w:lineRule="auto"/>
              <w:jc w:val="left"/>
            </w:pPr>
            <w:r/>
            <w:r>
              <w:rPr>
                <w:rFonts w:ascii="Calibri" w:hAnsi="Calibri"/>
                <w:b/>
                <w:color w:val="606A74"/>
                <w:sz w:val="15"/>
              </w:rPr>
              <w:t>Structure / roof</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Long-span hall framing; broad roof-deck and membrane renewal; exterior drainage and weatherproofing.</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Selective structural repairs and a smaller roof/envelope package coordinated with occupied headquarters phasing.</w:t>
            </w:r>
          </w:p>
        </w:tc>
      </w:tr>
      <w:tr>
        <w:tc>
          <w:tcPr>
            <w:tcW w:type="dxa" w:w="1700"/>
            <w:shd w:fill="E8EEF5"/>
            <w:vAlign w:val="center"/>
            <w:tcMar>
              <w:top w:w="100" w:type="dxa"/>
              <w:bottom w:w="100" w:type="dxa"/>
              <w:start w:w="120" w:type="dxa"/>
              <w:end w:w="120" w:type="dxa"/>
            </w:tcMar>
          </w:tcPr>
          <w:p>
            <w:pPr>
              <w:spacing w:before="0" w:after="0" w:line="240" w:lineRule="auto"/>
              <w:jc w:val="left"/>
            </w:pPr>
            <w:r/>
            <w:r>
              <w:rPr>
                <w:rFonts w:ascii="Calibri" w:hAnsi="Calibri"/>
                <w:b/>
                <w:color w:val="606A74"/>
                <w:sz w:val="15"/>
              </w:rPr>
              <w:t>Mechanical / plumbing</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Commercial-kitchen exhaust and make-up air; food-service connections; floor drains; sanitary service; high public-restroom demand.</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Office and mission-space HVAC; backup power; communications pathways; controlled-environment rooms; no commercial-kitchen system.</w:t>
            </w:r>
          </w:p>
        </w:tc>
      </w:tr>
      <w:tr>
        <w:tc>
          <w:tcPr>
            <w:tcW w:type="dxa" w:w="1700"/>
            <w:shd w:fill="E8EEF5"/>
            <w:vAlign w:val="center"/>
            <w:tcMar>
              <w:top w:w="100" w:type="dxa"/>
              <w:bottom w:w="100" w:type="dxa"/>
              <w:start w:w="120" w:type="dxa"/>
              <w:end w:w="120" w:type="dxa"/>
            </w:tcMar>
          </w:tcPr>
          <w:p>
            <w:pPr>
              <w:spacing w:before="0" w:after="0" w:line="240" w:lineRule="auto"/>
              <w:jc w:val="left"/>
            </w:pPr>
            <w:r/>
            <w:r>
              <w:rPr>
                <w:rFonts w:ascii="Calibri" w:hAnsi="Calibri"/>
                <w:b/>
                <w:color w:val="606A74"/>
                <w:sz w:val="15"/>
              </w:rPr>
              <w:t>Interior materials</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High-durability public finishes, multipurpose acoustical treatments, resilient food-service surfaces, and wet-area assemblies.</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Secure and acoustically controlled partitions, access-control interfaces, protected pathways, and headquarters office/mission finishes.</w:t>
            </w:r>
          </w:p>
        </w:tc>
      </w:tr>
      <w:tr>
        <w:tc>
          <w:tcPr>
            <w:tcW w:type="dxa" w:w="1700"/>
            <w:shd w:fill="E8EEF5"/>
            <w:vAlign w:val="center"/>
            <w:tcMar>
              <w:top w:w="100" w:type="dxa"/>
              <w:bottom w:w="100" w:type="dxa"/>
              <w:start w:w="120" w:type="dxa"/>
              <w:end w:w="120" w:type="dxa"/>
            </w:tcMar>
          </w:tcPr>
          <w:p>
            <w:pPr>
              <w:spacing w:before="0" w:after="0" w:line="240" w:lineRule="auto"/>
              <w:jc w:val="left"/>
            </w:pPr>
            <w:r/>
            <w:r>
              <w:rPr>
                <w:rFonts w:ascii="Calibri" w:hAnsi="Calibri"/>
                <w:b/>
                <w:color w:val="606A74"/>
                <w:sz w:val="15"/>
              </w:rPr>
              <w:t>Continuity / phasing</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Shared hall, kitchen, and utility shutdowns affect broad public-use areas; large rooms permit some work-zone separation.</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Awarded sequence maintains headquarters functions, temporary utilities, controlled access, and dust/noise separation in an occupied facility.</w:t>
            </w:r>
          </w:p>
        </w:tc>
      </w:tr>
      <w:tr>
        <w:tc>
          <w:tcPr>
            <w:tcW w:type="dxa" w:w="1700"/>
            <w:shd w:fill="E8EEF5"/>
            <w:vAlign w:val="center"/>
            <w:tcMar>
              <w:top w:w="100" w:type="dxa"/>
              <w:bottom w:w="100" w:type="dxa"/>
              <w:start w:w="120" w:type="dxa"/>
              <w:end w:w="120" w:type="dxa"/>
            </w:tcMar>
          </w:tcPr>
          <w:p>
            <w:pPr>
              <w:spacing w:before="0" w:after="0" w:line="240" w:lineRule="auto"/>
              <w:jc w:val="left"/>
            </w:pPr>
            <w:r/>
            <w:r>
              <w:rPr>
                <w:rFonts w:ascii="Calibri" w:hAnsi="Calibri"/>
                <w:b/>
                <w:color w:val="606A74"/>
                <w:sz w:val="15"/>
              </w:rPr>
              <w:t>Large-vehicle access</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11-foot service lane with a tight turn; no through-route; rear dock requires backing and spotters.</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20-foot hardstand road to east loading court; 14-foot service opening; turning apron and adjacent laydown area.</w:t>
            </w:r>
          </w:p>
        </w:tc>
      </w:tr>
      <w:tr>
        <w:tc>
          <w:tcPr>
            <w:tcW w:type="dxa" w:w="1700"/>
            <w:shd w:fill="E8EEF5"/>
            <w:vAlign w:val="center"/>
            <w:tcMar>
              <w:top w:w="100" w:type="dxa"/>
              <w:bottom w:w="100" w:type="dxa"/>
              <w:start w:w="120" w:type="dxa"/>
              <w:end w:w="120" w:type="dxa"/>
            </w:tcMar>
          </w:tcPr>
          <w:p>
            <w:pPr>
              <w:spacing w:before="0" w:after="0" w:line="240" w:lineRule="auto"/>
              <w:jc w:val="left"/>
            </w:pPr>
            <w:r/>
            <w:r>
              <w:rPr>
                <w:rFonts w:ascii="Calibri" w:hAnsi="Calibri"/>
                <w:b/>
                <w:color w:val="606A74"/>
                <w:sz w:val="15"/>
              </w:rPr>
              <w:t>Delivery handling</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Long-span and kitchen equipment deliveries require traffic control, smaller loads or double handling; crane setup is constrained.</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5"/>
              </w:rPr>
              <w:t>Flatbeds, telehandlers, and a mobile crane can reach the loading court and nearby laydown area directly.</w:t>
            </w:r>
          </w:p>
        </w:tc>
      </w:tr>
    </w:tbl>
    <w:p>
      <w:r>
        <w:br w:type="page"/>
      </w:r>
    </w:p>
    <w:p>
      <w:pPr>
        <w:keepNext/>
        <w:pageBreakBefore w:val="0"/>
        <w:spacing w:before="80" w:after="60"/>
        <w:jc w:val="center"/>
      </w:pPr>
      <w:r>
        <w:rPr>
          <w:rFonts w:ascii="Calibri" w:hAnsi="Calibri"/>
          <w:b/>
          <w:color w:val="192530"/>
          <w:sz w:val="32"/>
        </w:rPr>
        <w:t>WORK-PACKAGE RECORD</w:t>
      </w:r>
    </w:p>
    <w:p>
      <w:pPr>
        <w:keepNext/>
        <w:spacing w:before="0" w:after="200"/>
        <w:jc w:val="center"/>
      </w:pPr>
      <w:r>
        <w:rPr>
          <w:rFonts w:ascii="Calibri" w:hAnsi="Calibri"/>
          <w:b/>
          <w:color w:val="606A74"/>
          <w:sz w:val="21"/>
        </w:rPr>
        <w:t>Known planning and award facts; no acquisition conclusion</w:t>
      </w:r>
    </w:p>
    <w:p>
      <w:pPr>
        <w:pStyle w:val="Heading1"/>
        <w:keepNext/>
      </w:pPr>
      <w:r>
        <w:t>Scope elements reflected in the records</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1700"/>
        <w:gridCol w:w="3830"/>
        <w:gridCol w:w="3830"/>
      </w:tblGrid>
      <w:tr>
        <w:tc>
          <w:tcPr>
            <w:tcW w:type="dxa" w:w="1700"/>
            <w:shd w:fill="173746"/>
            <w:vAlign w:val="center"/>
            <w:tcMar>
              <w:top w:w="100" w:type="dxa"/>
              <w:bottom w:w="100" w:type="dxa"/>
              <w:start w:w="120" w:type="dxa"/>
              <w:end w:w="120" w:type="dxa"/>
            </w:tcMar>
          </w:tcPr>
          <w:p>
            <w:pPr>
              <w:spacing w:before="0" w:after="0" w:line="240" w:lineRule="auto"/>
              <w:jc w:val="center"/>
            </w:pPr>
            <w:r/>
            <w:r>
              <w:rPr>
                <w:rFonts w:ascii="Calibri" w:hAnsi="Calibri"/>
                <w:b/>
                <w:color w:val="FFFFFF"/>
                <w:sz w:val="16"/>
              </w:rPr>
              <w:t>Record item</w:t>
            </w:r>
          </w:p>
        </w:tc>
        <w:tc>
          <w:tcPr>
            <w:tcW w:type="dxa" w:w="3830"/>
            <w:shd w:fill="173746"/>
            <w:vAlign w:val="center"/>
            <w:tcMar>
              <w:top w:w="100" w:type="dxa"/>
              <w:bottom w:w="100" w:type="dxa"/>
              <w:start w:w="120" w:type="dxa"/>
              <w:end w:w="120" w:type="dxa"/>
            </w:tcMar>
          </w:tcPr>
          <w:p>
            <w:pPr>
              <w:spacing w:before="0" w:after="0" w:line="240" w:lineRule="auto"/>
              <w:jc w:val="center"/>
            </w:pPr>
            <w:r/>
            <w:r>
              <w:rPr>
                <w:rFonts w:ascii="Calibri" w:hAnsi="Calibri"/>
                <w:b/>
                <w:color w:val="FFFFFF"/>
                <w:sz w:val="16"/>
              </w:rPr>
              <w:t>Community Support Center</w:t>
            </w:r>
          </w:p>
        </w:tc>
        <w:tc>
          <w:tcPr>
            <w:tcW w:type="dxa" w:w="3830"/>
            <w:shd w:fill="173746"/>
            <w:vAlign w:val="center"/>
            <w:tcMar>
              <w:top w:w="100" w:type="dxa"/>
              <w:bottom w:w="100" w:type="dxa"/>
              <w:start w:w="120" w:type="dxa"/>
              <w:end w:w="120" w:type="dxa"/>
            </w:tcMar>
          </w:tcPr>
          <w:p>
            <w:pPr>
              <w:spacing w:before="0" w:after="0" w:line="240" w:lineRule="auto"/>
              <w:jc w:val="center"/>
            </w:pPr>
            <w:r/>
            <w:r>
              <w:rPr>
                <w:rFonts w:ascii="Calibri" w:hAnsi="Calibri"/>
                <w:b/>
                <w:color w:val="FFFFFF"/>
                <w:sz w:val="16"/>
              </w:rPr>
              <w:t>Campbell Hall</w:t>
            </w:r>
          </w:p>
        </w:tc>
      </w:tr>
      <w:tr>
        <w:tc>
          <w:tcPr>
            <w:tcW w:type="dxa" w:w="1700"/>
            <w:shd w:fill="F5EFD9"/>
            <w:vAlign w:val="center"/>
            <w:tcMar>
              <w:top w:w="100" w:type="dxa"/>
              <w:bottom w:w="100" w:type="dxa"/>
              <w:start w:w="120" w:type="dxa"/>
              <w:end w:w="120" w:type="dxa"/>
            </w:tcMar>
          </w:tcPr>
          <w:p>
            <w:pPr>
              <w:spacing w:before="0" w:after="0" w:line="240" w:lineRule="auto"/>
              <w:jc w:val="left"/>
            </w:pPr>
            <w:r/>
            <w:r>
              <w:rPr>
                <w:rFonts w:ascii="Calibri" w:hAnsi="Calibri"/>
                <w:b/>
                <w:color w:val="606A74"/>
                <w:sz w:val="16"/>
              </w:rPr>
              <w:t>Design and management</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Planning-level design completion, project management, temporary protection, and public-use coordination.</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Awarded design completion, occupied-building phasing, submittals, and headquarters continuity controls.</w:t>
            </w:r>
          </w:p>
        </w:tc>
      </w:tr>
      <w:tr>
        <w:tc>
          <w:tcPr>
            <w:tcW w:type="dxa" w:w="1700"/>
            <w:shd w:fill="F5EFD9"/>
            <w:vAlign w:val="center"/>
            <w:tcMar>
              <w:top w:w="100" w:type="dxa"/>
              <w:bottom w:w="100" w:type="dxa"/>
              <w:start w:w="120" w:type="dxa"/>
              <w:end w:w="120" w:type="dxa"/>
            </w:tcMar>
          </w:tcPr>
          <w:p>
            <w:pPr>
              <w:spacing w:before="0" w:after="0" w:line="240" w:lineRule="auto"/>
              <w:jc w:val="left"/>
            </w:pPr>
            <w:r/>
            <w:r>
              <w:rPr>
                <w:rFonts w:ascii="Calibri" w:hAnsi="Calibri"/>
                <w:b/>
                <w:color w:val="606A74"/>
                <w:sz w:val="16"/>
              </w:rPr>
              <w:t>Demolition / hazards</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Selective demolition with a planning allowance for hazards; E-03 reports negative accessible wall-system samples.</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Selective demolition and hazardous-material controls; historical information identified limited asbestos before award.</w:t>
            </w:r>
          </w:p>
        </w:tc>
      </w:tr>
      <w:tr>
        <w:tc>
          <w:tcPr>
            <w:tcW w:type="dxa" w:w="1700"/>
            <w:shd w:fill="F5EFD9"/>
            <w:vAlign w:val="center"/>
            <w:tcMar>
              <w:top w:w="100" w:type="dxa"/>
              <w:bottom w:w="100" w:type="dxa"/>
              <w:start w:w="120" w:type="dxa"/>
              <w:end w:w="120" w:type="dxa"/>
            </w:tcMar>
          </w:tcPr>
          <w:p>
            <w:pPr>
              <w:spacing w:before="0" w:after="0" w:line="240" w:lineRule="auto"/>
              <w:jc w:val="left"/>
            </w:pPr>
            <w:r/>
            <w:r>
              <w:rPr>
                <w:rFonts w:ascii="Calibri" w:hAnsi="Calibri"/>
                <w:b/>
                <w:color w:val="606A74"/>
                <w:sz w:val="16"/>
              </w:rPr>
              <w:t>Envelope / civil</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Substantial roof, exterior-envelope, site-drainage, utility, and constrained-service-access work.</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Selective structural, roof, envelope, and site renewal with easier heavy-delivery access.</w:t>
            </w:r>
          </w:p>
        </w:tc>
      </w:tr>
      <w:tr>
        <w:tc>
          <w:tcPr>
            <w:tcW w:type="dxa" w:w="1700"/>
            <w:shd w:fill="F5EFD9"/>
            <w:vAlign w:val="center"/>
            <w:tcMar>
              <w:top w:w="100" w:type="dxa"/>
              <w:bottom w:w="100" w:type="dxa"/>
              <w:start w:w="120" w:type="dxa"/>
              <w:end w:w="120" w:type="dxa"/>
            </w:tcMar>
          </w:tcPr>
          <w:p>
            <w:pPr>
              <w:spacing w:before="0" w:after="0" w:line="240" w:lineRule="auto"/>
              <w:jc w:val="left"/>
            </w:pPr>
            <w:r/>
            <w:r>
              <w:rPr>
                <w:rFonts w:ascii="Calibri" w:hAnsi="Calibri"/>
                <w:b/>
                <w:color w:val="606A74"/>
                <w:sz w:val="16"/>
              </w:rPr>
              <w:t>Building systems</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Commercial kitchen, plumbing/sanitary, HVAC, electrical/communications, fire suppression, alarm, and public-life-safety work.</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Mechanical/electrical renewal, backup power, communications pathways, fire protection, and security-system integration.</w:t>
            </w:r>
          </w:p>
        </w:tc>
      </w:tr>
      <w:tr>
        <w:tc>
          <w:tcPr>
            <w:tcW w:type="dxa" w:w="1700"/>
            <w:shd w:fill="F5EFD9"/>
            <w:vAlign w:val="center"/>
            <w:tcMar>
              <w:top w:w="100" w:type="dxa"/>
              <w:bottom w:w="100" w:type="dxa"/>
              <w:start w:w="120" w:type="dxa"/>
              <w:end w:w="120" w:type="dxa"/>
            </w:tcMar>
          </w:tcPr>
          <w:p>
            <w:pPr>
              <w:spacing w:before="0" w:after="0" w:line="240" w:lineRule="auto"/>
              <w:jc w:val="left"/>
            </w:pPr>
            <w:r/>
            <w:r>
              <w:rPr>
                <w:rFonts w:ascii="Calibri" w:hAnsi="Calibri"/>
                <w:b/>
                <w:color w:val="606A74"/>
                <w:sz w:val="16"/>
              </w:rPr>
              <w:t>Interior work</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Community hall, recreation, dining, family-support, administration, accessibility, and durable public finishes.</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Office, command, briefing, communications, and secure mission-space renovation.</w:t>
            </w:r>
          </w:p>
        </w:tc>
      </w:tr>
      <w:tr>
        <w:tc>
          <w:tcPr>
            <w:tcW w:type="dxa" w:w="1700"/>
            <w:shd w:fill="F5EFD9"/>
            <w:vAlign w:val="center"/>
            <w:tcMar>
              <w:top w:w="100" w:type="dxa"/>
              <w:bottom w:w="100" w:type="dxa"/>
              <w:start w:w="120" w:type="dxa"/>
              <w:end w:w="120" w:type="dxa"/>
            </w:tcMar>
          </w:tcPr>
          <w:p>
            <w:pPr>
              <w:spacing w:before="0" w:after="0" w:line="240" w:lineRule="auto"/>
              <w:jc w:val="left"/>
            </w:pPr>
            <w:r/>
            <w:r>
              <w:rPr>
                <w:rFonts w:ascii="Calibri" w:hAnsi="Calibri"/>
                <w:b/>
                <w:color w:val="606A74"/>
                <w:sz w:val="16"/>
              </w:rPr>
              <w:t>Testing / closeout</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Whole-building testing, commissioning, training, and closeout remain to be developed with the design.</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Testing, commissioning, training, turnover, and closeout are included in the executed task order.</w:t>
            </w:r>
          </w:p>
        </w:tc>
      </w:tr>
    </w:tbl>
    <w:p>
      <w:pPr>
        <w:pStyle w:val="Heading1"/>
        <w:keepNext/>
      </w:pPr>
      <w:r>
        <w:t>Acquisition records available for review</w:t>
      </w:r>
    </w:p>
    <w:tbl>
      <w:tblPr>
        <w:tblStyle w:val="TableGrid"/>
        <w:tblW w:type="dxa" w:w="9360"/>
        <w:jc w:val="left"/>
        <w:tblLayout w:type="fixed"/>
        <w:tblLook w:firstColumn="1" w:firstRow="1" w:lastColumn="0" w:lastRow="0" w:noHBand="0" w:noVBand="1" w:val="04A0"/>
        <w:tblInd w:w="120" w:type="dxa"/>
        <w:tblBorders>
          <w:top w:val="single" w:sz="5" w:color="A8B4BC"/>
          <w:left w:val="single" w:sz="5" w:color="A8B4BC"/>
          <w:bottom w:val="single" w:sz="5" w:color="A8B4BC"/>
          <w:right w:val="single" w:sz="5" w:color="A8B4BC"/>
          <w:insideH w:val="single" w:sz="5" w:color="A8B4BC"/>
          <w:insideV w:val="single" w:sz="5" w:color="A8B4BC"/>
        </w:tblBorders>
      </w:tblPr>
      <w:tblGrid>
        <w:gridCol w:w="1700"/>
        <w:gridCol w:w="3830"/>
        <w:gridCol w:w="3830"/>
      </w:tblGrid>
      <w:tr>
        <w:tc>
          <w:tcPr>
            <w:tcW w:type="dxa" w:w="1700"/>
            <w:shd w:fill="173746"/>
            <w:vAlign w:val="center"/>
            <w:tcMar>
              <w:top w:w="100" w:type="dxa"/>
              <w:bottom w:w="100" w:type="dxa"/>
              <w:start w:w="120" w:type="dxa"/>
              <w:end w:w="120" w:type="dxa"/>
            </w:tcMar>
          </w:tcPr>
          <w:p>
            <w:pPr>
              <w:spacing w:before="0" w:after="0" w:line="240" w:lineRule="auto"/>
              <w:jc w:val="center"/>
            </w:pPr>
            <w:r/>
            <w:r>
              <w:rPr>
                <w:rFonts w:ascii="Calibri" w:hAnsi="Calibri"/>
                <w:b/>
                <w:color w:val="FFFFFF"/>
                <w:sz w:val="16"/>
              </w:rPr>
              <w:t>Record item</w:t>
            </w:r>
          </w:p>
        </w:tc>
        <w:tc>
          <w:tcPr>
            <w:tcW w:type="dxa" w:w="3830"/>
            <w:shd w:fill="173746"/>
            <w:vAlign w:val="center"/>
            <w:tcMar>
              <w:top w:w="100" w:type="dxa"/>
              <w:bottom w:w="100" w:type="dxa"/>
              <w:start w:w="120" w:type="dxa"/>
              <w:end w:w="120" w:type="dxa"/>
            </w:tcMar>
          </w:tcPr>
          <w:p>
            <w:pPr>
              <w:spacing w:before="0" w:after="0" w:line="240" w:lineRule="auto"/>
              <w:jc w:val="center"/>
            </w:pPr>
            <w:r/>
            <w:r>
              <w:rPr>
                <w:rFonts w:ascii="Calibri" w:hAnsi="Calibri"/>
                <w:b/>
                <w:color w:val="FFFFFF"/>
                <w:sz w:val="16"/>
              </w:rPr>
              <w:t>Community Support Center</w:t>
            </w:r>
          </w:p>
        </w:tc>
        <w:tc>
          <w:tcPr>
            <w:tcW w:type="dxa" w:w="3830"/>
            <w:shd w:fill="173746"/>
            <w:vAlign w:val="center"/>
            <w:tcMar>
              <w:top w:w="100" w:type="dxa"/>
              <w:bottom w:w="100" w:type="dxa"/>
              <w:start w:w="120" w:type="dxa"/>
              <w:end w:w="120" w:type="dxa"/>
            </w:tcMar>
          </w:tcPr>
          <w:p>
            <w:pPr>
              <w:spacing w:before="0" w:after="0" w:line="240" w:lineRule="auto"/>
              <w:jc w:val="center"/>
            </w:pPr>
            <w:r/>
            <w:r>
              <w:rPr>
                <w:rFonts w:ascii="Calibri" w:hAnsi="Calibri"/>
                <w:b/>
                <w:color w:val="FFFFFF"/>
                <w:sz w:val="16"/>
              </w:rPr>
              <w:t>Campbell Hall</w:t>
            </w:r>
          </w:p>
        </w:tc>
      </w:tr>
      <w:tr>
        <w:tc>
          <w:tcPr>
            <w:tcW w:type="dxa" w:w="1700"/>
            <w:shd w:fill="F5EFD9"/>
            <w:vAlign w:val="center"/>
            <w:tcMar>
              <w:top w:w="100" w:type="dxa"/>
              <w:bottom w:w="100" w:type="dxa"/>
              <w:start w:w="120" w:type="dxa"/>
              <w:end w:w="120" w:type="dxa"/>
            </w:tcMar>
          </w:tcPr>
          <w:p>
            <w:pPr>
              <w:spacing w:before="0" w:after="0" w:line="240" w:lineRule="auto"/>
              <w:jc w:val="left"/>
            </w:pPr>
            <w:r/>
            <w:r>
              <w:rPr>
                <w:rFonts w:ascii="Calibri" w:hAnsi="Calibri"/>
                <w:b/>
                <w:color w:val="606A74"/>
                <w:sz w:val="16"/>
              </w:rPr>
              <w:t>Status</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Separate planning action PL-27-021; no MACC fair-opportunity solicitation has been issued.</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Executed MACC Task Order FA-27-005; awarded 10 March 2027 to Peace Walker Infrastructure Partners, LLC.</w:t>
            </w:r>
          </w:p>
        </w:tc>
      </w:tr>
      <w:tr>
        <w:tc>
          <w:tcPr>
            <w:tcW w:type="dxa" w:w="1700"/>
            <w:shd w:fill="F5EFD9"/>
            <w:vAlign w:val="center"/>
            <w:tcMar>
              <w:top w:w="100" w:type="dxa"/>
              <w:bottom w:w="100" w:type="dxa"/>
              <w:start w:w="120" w:type="dxa"/>
              <w:end w:w="120" w:type="dxa"/>
            </w:tcMar>
          </w:tcPr>
          <w:p>
            <w:pPr>
              <w:spacing w:before="0" w:after="0" w:line="240" w:lineRule="auto"/>
              <w:jc w:val="left"/>
            </w:pPr>
            <w:r/>
            <w:r>
              <w:rPr>
                <w:rFonts w:ascii="Calibri" w:hAnsi="Calibri"/>
                <w:b/>
                <w:color w:val="606A74"/>
                <w:sz w:val="16"/>
              </w:rPr>
              <w:t>Price record</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$31.20M Government planning estimate; quantities and design assumptions remain subject to development.</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$26.40M firm-fixed-price order based on Campbell Hall specifications, drawings, phasing, and proposal.</w:t>
            </w:r>
          </w:p>
        </w:tc>
      </w:tr>
      <w:tr>
        <w:tc>
          <w:tcPr>
            <w:tcW w:type="dxa" w:w="1700"/>
            <w:shd w:fill="F5EFD9"/>
            <w:vAlign w:val="center"/>
            <w:tcMar>
              <w:top w:w="100" w:type="dxa"/>
              <w:bottom w:w="100" w:type="dxa"/>
              <w:start w:w="120" w:type="dxa"/>
              <w:end w:w="120" w:type="dxa"/>
            </w:tcMar>
          </w:tcPr>
          <w:p>
            <w:pPr>
              <w:spacing w:before="0" w:after="0" w:line="240" w:lineRule="auto"/>
              <w:jc w:val="left"/>
            </w:pPr>
            <w:r/>
            <w:r>
              <w:rPr>
                <w:rFonts w:ascii="Calibri" w:hAnsi="Calibri"/>
                <w:b/>
                <w:color w:val="606A74"/>
                <w:sz w:val="16"/>
              </w:rPr>
              <w:t>Named facility</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Mother Base Community Support Center, Building 620.</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Campbell Hall headquarters.</w:t>
            </w:r>
          </w:p>
        </w:tc>
      </w:tr>
      <w:tr>
        <w:tc>
          <w:tcPr>
            <w:tcW w:type="dxa" w:w="1700"/>
            <w:shd w:fill="F5EFD9"/>
            <w:vAlign w:val="center"/>
            <w:tcMar>
              <w:top w:w="100" w:type="dxa"/>
              <w:bottom w:w="100" w:type="dxa"/>
              <w:start w:w="120" w:type="dxa"/>
              <w:end w:w="120" w:type="dxa"/>
            </w:tcMar>
          </w:tcPr>
          <w:p>
            <w:pPr>
              <w:spacing w:before="0" w:after="0" w:line="240" w:lineRule="auto"/>
              <w:jc w:val="left"/>
            </w:pPr>
            <w:r/>
            <w:r>
              <w:rPr>
                <w:rFonts w:ascii="Calibri" w:hAnsi="Calibri"/>
                <w:b/>
                <w:color w:val="606A74"/>
                <w:sz w:val="16"/>
              </w:rPr>
              <w:t>Source records</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E-01 through E-05, including floor plan, wall survey, IGCE, and purchase request.</w:t>
            </w:r>
          </w:p>
        </w:tc>
        <w:tc>
          <w:tcPr>
            <w:tcW w:type="dxa" w:w="3830"/>
            <w:vAlign w:val="center"/>
            <w:tcMar>
              <w:top w:w="100" w:type="dxa"/>
              <w:bottom w:w="100" w:type="dxa"/>
              <w:start w:w="120" w:type="dxa"/>
              <w:end w:w="120" w:type="dxa"/>
            </w:tcMar>
          </w:tcPr>
          <w:p>
            <w:pPr>
              <w:spacing w:before="0" w:after="0" w:line="240" w:lineRule="auto"/>
              <w:jc w:val="left"/>
            </w:pPr>
            <w:r/>
            <w:r>
              <w:rPr>
                <w:rFonts w:ascii="Calibri" w:hAnsi="Calibri"/>
                <w:b w:val="0"/>
                <w:color w:val="192530"/>
                <w:sz w:val="16"/>
              </w:rPr>
              <w:t>Executed order, incorporated Campbell Hall solicitation, specifications, drawings, and contractor proposal.</w:t>
            </w:r>
          </w:p>
        </w:tc>
      </w:tr>
    </w:tbl>
    <w:p>
      <w:pPr>
        <w:keepLines/>
        <w:spacing w:before="0" w:after="0" w:line="264" w:lineRule="auto"/>
        <w:ind w:left="0"/>
      </w:pPr>
      <w:r>
        <w:rPr>
          <w:rFonts w:ascii="Calibri" w:hAnsi="Calibri"/>
          <w:color w:val="192530"/>
          <w:sz w:val="22"/>
        </w:rPr>
        <w:t>Prepared as a factual comparison only. The Contracting Officer must apply the governing contract, competition, funding, and modification authorities to any proposed course of action.</w:t>
      </w:r>
    </w:p>
    <w:sectPr w:rsidR="00FC693F" w:rsidRPr="0006063C" w:rsidSect="00034616">
      <w:headerReference w:type="default" r:id="rId9"/>
      <w:footerReference w:type="default" r:id="rId10"/>
      <w:pgSz w:w="12240" w:h="15840"/>
      <w:pgMar w:top="1123" w:right="1440" w:bottom="1037" w:left="1440" w:header="403" w:footer="403"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center"/>
    </w:pPr>
    <w:r>
      <w:rPr>
        <w:rFonts w:ascii="Calibri" w:hAnsi="Calibri"/>
        <w:color w:val="606A74"/>
        <w:sz w:val="17"/>
      </w:rPr>
      <w:t xml:space="preserve">E-06  |  FACILITY WORK COMPARISON  |  DRAFT  |  Page </w:t>
    </w:r>
    <w:r>
      <w:rPr>
        <w:rFonts w:ascii="Calibri" w:hAnsi="Calibri"/>
        <w:color w:val="606A74"/>
        <w:sz w:val="17"/>
      </w:rPr>
      <w:fldChar w:fldCharType="begin"/>
      <w:instrText xml:space="preserve">PAGE</w:instrText>
      <w:fldChar w:fldCharType="separate"/>
      <w:t>1</w:t>
      <w:fldChar w:fldCharType="end"/>
    </w:r>
    <w:r>
      <w:rPr>
        <w:rFonts w:ascii="Calibri" w:hAnsi="Calibri"/>
        <w:color w:val="606A74"/>
        <w:sz w:val="17"/>
      </w:rPr>
      <w:t xml:space="preserve"> of </w:t>
    </w:r>
    <w:r>
      <w:rPr>
        <w:rFonts w:ascii="Calibri" w:hAnsi="Calibri"/>
        <w:color w:val="606A74"/>
        <w:sz w:val="17"/>
      </w:rPr>
      <w:fldChar w:fldCharType="begin"/>
      <w:instrText xml:space="preserve">NUMPAGES</w:instrText>
      <w:fldChar w:fldCharType="separate"/>
      <w:t>1</w:t>
      <w:fldChar w:fldCharType="end"/>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before="0" w:after="0"/>
      <w:jc w:val="right"/>
    </w:pPr>
    <w:r>
      <w:rPr>
        <w:rFonts w:ascii="Calibri" w:hAnsi="Calibri"/>
        <w:b/>
        <w:color w:val="606A74"/>
        <w:sz w:val="17"/>
      </w:rPr>
      <w:t>EXERCISE USE ONLY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80" w:line="264" w:lineRule="auto"/>
    </w:pPr>
    <w:rPr>
      <w:rFonts w:ascii="Calibri" w:hAnsi="Calibri"/>
      <w:color w:val="192530"/>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E-06 Community Center and Campbell Hall Work Comparison</dc:title>
  <dc:subject>Prompt-only factual comparison for construction-contract training</dc:subject>
  <dc:creator>713th Civil Engineer Squadron and 713th Contracting Squadron (fictional)</dc:creator>
  <cp:keywords>training, construction, facility comparison</cp:keywords>
  <dc:description>Training use only. All names, facilities, dimensions, dates, values, and requirements are fictional.</dc:description>
  <cp:lastModifiedBy/>
  <cp:revision>1</cp:revision>
  <dcterms:created xsi:type="dcterms:W3CDTF">2013-12-23T23:15:00Z</dcterms:created>
  <dcterms:modified xsi:type="dcterms:W3CDTF">2013-12-23T23:15:00Z</dcterms:modified>
  <cp:category/>
</cp:coreProperties>
</file>