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keepNext/>
        <w:spacing w:before="100" w:after="40"/>
        <w:jc w:val="center"/>
      </w:pPr>
      <w:r>
        <w:rPr>
          <w:rFonts w:ascii="Calibri" w:hAnsi="Calibri"/>
          <w:b/>
          <w:color w:val="192530"/>
          <w:sz w:val="32"/>
        </w:rPr>
        <w:t>DEPARTMENT OF THE AIR FORCE</w:t>
      </w:r>
    </w:p>
    <w:p>
      <w:pPr>
        <w:keepNext/>
        <w:spacing w:before="0" w:after="280"/>
        <w:jc w:val="center"/>
      </w:pPr>
      <w:r>
        <w:rPr>
          <w:rFonts w:ascii="Calibri" w:hAnsi="Calibri"/>
          <w:b/>
          <w:color w:val="606A74"/>
          <w:sz w:val="21"/>
        </w:rPr>
        <w:t>SHADOW MOSES AIR FIELD, ALASKA</w:t>
      </w:r>
    </w:p>
    <w:p>
      <w:pPr>
        <w:keepNext/>
        <w:pageBreakBefore w:val="0"/>
        <w:spacing w:before="80" w:after="60"/>
        <w:jc w:val="center"/>
      </w:pPr>
      <w:r>
        <w:rPr>
          <w:rFonts w:ascii="Calibri" w:hAnsi="Calibri"/>
          <w:b/>
          <w:color w:val="192530"/>
          <w:sz w:val="32"/>
        </w:rPr>
        <w:t>NOTICE OF DIFFERING SITE CONDITION</w:t>
      </w:r>
    </w:p>
    <w:p>
      <w:pPr>
        <w:keepNext/>
        <w:spacing w:before="0" w:after="200"/>
        <w:jc w:val="center"/>
      </w:pPr>
      <w:r>
        <w:rPr>
          <w:rFonts w:ascii="Calibri" w:hAnsi="Calibri"/>
          <w:b/>
          <w:color w:val="606A74"/>
          <w:sz w:val="21"/>
        </w:rPr>
        <w:t>Campbell Hall Phased Headquarters Renovation | Task Order FA-27-005</w:t>
      </w:r>
    </w:p>
    <w:p>
      <w:pPr>
        <w:keepLines/>
        <w:spacing w:before="0" w:after="60" w:line="252" w:lineRule="auto"/>
      </w:pPr>
      <w:r>
        <w:rPr>
          <w:rFonts w:ascii="Calibri" w:hAnsi="Calibri"/>
          <w:b/>
          <w:color w:val="192530"/>
          <w:sz w:val="22"/>
        </w:rPr>
        <w:t xml:space="preserve">TO: </w:t>
      </w:r>
      <w:r>
        <w:rPr>
          <w:rFonts w:ascii="Calibri" w:hAnsi="Calibri"/>
          <w:color w:val="192530"/>
          <w:sz w:val="22"/>
        </w:rPr>
        <w:t>Maj Emma Emmerich, Contracting Officer, 713th Contracting Squadron</w:t>
      </w:r>
    </w:p>
    <w:p>
      <w:pPr>
        <w:keepLines/>
        <w:spacing w:before="0" w:after="60" w:line="252" w:lineRule="auto"/>
      </w:pPr>
      <w:r>
        <w:rPr>
          <w:rFonts w:ascii="Calibri" w:hAnsi="Calibri"/>
          <w:b/>
          <w:color w:val="192530"/>
          <w:sz w:val="22"/>
        </w:rPr>
        <w:t xml:space="preserve">FROM: </w:t>
      </w:r>
      <w:r>
        <w:rPr>
          <w:rFonts w:ascii="Calibri" w:hAnsi="Calibri"/>
          <w:color w:val="192530"/>
          <w:sz w:val="22"/>
        </w:rPr>
        <w:t>Hot Coldman, President, Peace Walker Infrastructure Partners, LLC</w:t>
      </w:r>
    </w:p>
    <w:p>
      <w:pPr>
        <w:keepLines/>
        <w:spacing w:before="0" w:after="60" w:line="252" w:lineRule="auto"/>
      </w:pPr>
      <w:r>
        <w:rPr>
          <w:rFonts w:ascii="Calibri" w:hAnsi="Calibri"/>
          <w:b/>
          <w:color w:val="192530"/>
          <w:sz w:val="22"/>
        </w:rPr>
        <w:t xml:space="preserve">DATE / TIME: </w:t>
      </w:r>
      <w:r>
        <w:rPr>
          <w:rFonts w:ascii="Calibri" w:hAnsi="Calibri"/>
          <w:color w:val="192530"/>
          <w:sz w:val="22"/>
        </w:rPr>
        <w:t>7 July 2027 | 0855 Alaska time</w:t>
      </w:r>
    </w:p>
    <w:p>
      <w:pPr>
        <w:keepLines/>
        <w:spacing w:before="0" w:after="180" w:line="252" w:lineRule="auto"/>
      </w:pPr>
      <w:r>
        <w:rPr>
          <w:rFonts w:ascii="Calibri" w:hAnsi="Calibri"/>
          <w:b/>
          <w:color w:val="192530"/>
          <w:sz w:val="22"/>
        </w:rPr>
        <w:t xml:space="preserve">SUBJECT: </w:t>
      </w:r>
      <w:r>
        <w:rPr>
          <w:rFonts w:ascii="Calibri" w:hAnsi="Calibri"/>
          <w:color w:val="192530"/>
          <w:sz w:val="22"/>
        </w:rPr>
        <w:t>Prompt notice before disturbance — concealed asbestos-containing wall materials</w:t>
      </w:r>
    </w:p>
    <w:p>
      <w:pPr>
        <w:keepLines/>
        <w:spacing w:before="0" w:after="120" w:line="264" w:lineRule="auto"/>
        <w:numPr>
          <w:ilvl w:val="0"/>
          <w:numId w:val="10"/>
        </w:numPr>
      </w:pPr>
      <w:r>
        <w:rPr>
          <w:rFonts w:ascii="Calibri" w:hAnsi="Calibri"/>
          <w:color w:val="192530"/>
          <w:sz w:val="22"/>
        </w:rPr>
        <w:t>During selective opening of Wall Assembly CH-WA-17, our crew encountered concealed joint compound and backing material matching the asbestos warning characteristics in the project safety plan. Work stopped before the newly exposed material was cut, removed, or otherwise disturbed.</w:t>
      </w:r>
    </w:p>
    <w:p>
      <w:pPr>
        <w:keepLines/>
        <w:spacing w:before="0" w:after="120" w:line="264" w:lineRule="auto"/>
        <w:numPr>
          <w:ilvl w:val="0"/>
          <w:numId w:val="11"/>
        </w:numPr>
      </w:pPr>
      <w:r>
        <w:rPr>
          <w:rFonts w:ascii="Calibri" w:hAnsi="Calibri"/>
          <w:color w:val="192530"/>
          <w:sz w:val="22"/>
        </w:rPr>
        <w:t>Government pre-award information identified asbestos-containing wall materials in approximately five percent of the building's wall systems, concentrated at named utility chases. Field screening and subsequent visual checks indicate that the same concealed material may occur through most interior wall zones.</w:t>
      </w:r>
    </w:p>
    <w:p>
      <w:pPr>
        <w:keepLines/>
        <w:spacing w:before="0" w:after="120" w:line="264" w:lineRule="auto"/>
        <w:numPr>
          <w:ilvl w:val="0"/>
          <w:numId w:val="12"/>
        </w:numPr>
      </w:pPr>
      <w:r>
        <w:rPr>
          <w:rFonts w:ascii="Calibri" w:hAnsi="Calibri"/>
          <w:color w:val="192530"/>
          <w:sz w:val="22"/>
        </w:rPr>
        <w:t>Peace Walker considers this a latent physical condition materially different from the condition indicated in the contract and gives this notice under FAR 52.236-2 before further disturbance. We request Government inspection, sampling direction, and written instructions for affected work.</w:t>
      </w:r>
    </w:p>
    <w:p>
      <w:pPr>
        <w:keepLines/>
        <w:spacing w:before="0" w:after="160" w:line="264" w:lineRule="auto"/>
        <w:numPr>
          <w:ilvl w:val="0"/>
          <w:numId w:val="13"/>
        </w:numPr>
      </w:pPr>
      <w:r>
        <w:rPr>
          <w:rFonts w:ascii="Calibri" w:hAnsi="Calibri"/>
          <w:color w:val="192530"/>
          <w:sz w:val="22"/>
        </w:rPr>
        <w:t>We are segregating labor, equipment, subcontract, protection, and schedule records and will continue safe unaffected work unless directed otherwise. This notice does not state a final price or time adjustment.</w:t>
      </w:r>
    </w:p>
    <w:tbl>
      <w:tblPr>
        <w:tblStyle w:val="TableGrid"/>
        <w:tblW w:type="dxa" w:w="9360"/>
        <w:jc w:val="left"/>
        <w:tblLayout w:type="fixed"/>
        <w:tblLook w:firstColumn="1" w:firstRow="1" w:lastColumn="0" w:lastRow="0" w:noHBand="0" w:noVBand="1" w:val="04A0"/>
        <w:tblInd w:w="120" w:type="dxa"/>
        <w:tblBorders>
          <w:top w:val="single" w:sz="5" w:color="A8B4BC"/>
          <w:left w:val="single" w:sz="5" w:color="A8B4BC"/>
          <w:bottom w:val="single" w:sz="5" w:color="A8B4BC"/>
          <w:right w:val="single" w:sz="5" w:color="A8B4BC"/>
          <w:insideH w:val="single" w:sz="5" w:color="A8B4BC"/>
          <w:insideV w:val="single" w:sz="5" w:color="A8B4BC"/>
        </w:tblBorders>
      </w:tblPr>
      <w:tblGrid>
        <w:gridCol w:w="9360"/>
      </w:tblGrid>
      <w:tr>
        <w:tc>
          <w:tcPr>
            <w:tcW w:type="dxa" w:w="9360"/>
            <w:shd w:fill="F8ECEA"/>
            <w:vAlign w:val="center"/>
            <w:tcMar>
              <w:top w:w="100" w:type="dxa"/>
              <w:bottom w:w="100" w:type="dxa"/>
              <w:start w:w="120" w:type="dxa"/>
              <w:end w:w="120" w:type="dxa"/>
            </w:tcMar>
          </w:tcPr>
          <w:p>
            <w:pPr>
              <w:spacing w:before="40" w:after="40" w:line="252" w:lineRule="auto"/>
            </w:pPr>
            <w:r/>
            <w:r>
              <w:rPr>
                <w:rFonts w:ascii="Calibri" w:hAnsi="Calibri"/>
                <w:b/>
                <w:color w:val="8E4F47"/>
                <w:sz w:val="18"/>
              </w:rPr>
              <w:t xml:space="preserve">CONDITION PRESERVED. </w:t>
            </w:r>
            <w:r>
              <w:rPr>
                <w:rFonts w:ascii="Calibri" w:hAnsi="Calibri"/>
                <w:color w:val="192530"/>
                <w:sz w:val="18"/>
              </w:rPr>
              <w:t>The exposed opening is barricaded and photographed. No additional affected wall assembly will be disturbed pending written Government direction.</w:t>
            </w:r>
          </w:p>
        </w:tc>
      </w:tr>
    </w:tbl>
    <w:p>
      <w:pPr>
        <w:keepLines/>
        <w:spacing w:before="160" w:after="0"/>
      </w:pPr>
      <w:r>
        <w:rPr>
          <w:rFonts w:ascii="Calibri" w:hAnsi="Calibri"/>
          <w:b/>
          <w:color w:val="192530"/>
          <w:sz w:val="20"/>
        </w:rPr>
        <w:t>/s/ HOT COLDMAN</w:t>
        <w:br/>
      </w:r>
      <w:r>
        <w:rPr>
          <w:rFonts w:ascii="Calibri" w:hAnsi="Calibri"/>
          <w:color w:val="606A74"/>
          <w:sz w:val="18"/>
        </w:rPr>
        <w:t>President, Peace Walker Infrastructure Partners, LLC</w:t>
        <w:br/>
        <w:t>7 July 2027</w:t>
      </w:r>
    </w:p>
    <w:sectPr w:rsidR="00FC693F" w:rsidRPr="0006063C" w:rsidSect="00034616">
      <w:headerReference w:type="default" r:id="rId9"/>
      <w:footerReference w:type="default" r:id="rId10"/>
      <w:pgSz w:w="12240" w:h="15840"/>
      <w:pgMar w:top="1123" w:right="1440" w:bottom="1037" w:left="1440" w:header="403" w:footer="403"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after="0"/>
      <w:jc w:val="center"/>
    </w:pPr>
    <w:r>
      <w:rPr>
        <w:rFonts w:ascii="Calibri" w:hAnsi="Calibri"/>
        <w:color w:val="606A74"/>
        <w:sz w:val="17"/>
      </w:rPr>
      <w:t xml:space="preserve">F-01  |  DIFFERING SITE CONDITION NOTICE  |  DRAFT  |  Page </w:t>
    </w:r>
    <w:r>
      <w:rPr>
        <w:rFonts w:ascii="Calibri" w:hAnsi="Calibri"/>
        <w:color w:val="606A74"/>
        <w:sz w:val="17"/>
      </w:rPr>
      <w:fldChar w:fldCharType="begin"/>
      <w:instrText xml:space="preserve">PAGE</w:instrText>
      <w:fldChar w:fldCharType="separate"/>
      <w:t>1</w:t>
      <w:fldChar w:fldCharType="end"/>
    </w:r>
    <w:r>
      <w:rPr>
        <w:rFonts w:ascii="Calibri" w:hAnsi="Calibri"/>
        <w:color w:val="606A74"/>
        <w:sz w:val="17"/>
      </w:rPr>
      <w:t xml:space="preserve"> of </w:t>
    </w:r>
    <w:r>
      <w:rPr>
        <w:rFonts w:ascii="Calibri" w:hAnsi="Calibri"/>
        <w:color w:val="606A74"/>
        <w:sz w:val="17"/>
      </w:rPr>
      <w:fldChar w:fldCharType="begin"/>
      <w:instrText xml:space="preserve">NUMPAGES</w:instrText>
      <w:fldChar w:fldCharType="separate"/>
      <w:t>1</w: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before="0" w:after="0"/>
      <w:jc w:val="right"/>
    </w:pPr>
    <w:r>
      <w:rPr>
        <w:rFonts w:ascii="Calibri" w:hAnsi="Calibri"/>
        <w:b/>
        <w:color w:val="606A74"/>
        <w:sz w:val="17"/>
      </w:rPr>
      <w:t>EXERCISE USE ONLY</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abstractNum w:abstractNumId="9">
    <w:multiLevelType w:val="singleLevel"/>
    <w:lvl w:ilvl="0">
      <w:start w:val="1"/>
      <w:numFmt w:val="decimal"/>
      <w:lvlText w:val="%1."/>
      <w:lvlJc w:val="left"/>
      <w:pPr>
        <w:tabs>
          <w:tab w:val="num" w:pos="360"/>
        </w:tabs>
        <w:ind w:left="360" w:hanging="360"/>
      </w:pPr>
    </w:lvl>
  </w:abstractNum>
  <w:num w:numId="10">
    <w:abstractNumId w:val="9"/>
  </w:num>
  <w:abstractNum w:abstractNumId="10">
    <w:multiLevelType w:val="singleLevel"/>
    <w:lvl w:ilvl="0">
      <w:start w:val="2"/>
      <w:numFmt w:val="decimal"/>
      <w:lvlText w:val="%1."/>
      <w:lvlJc w:val="left"/>
      <w:pPr>
        <w:tabs>
          <w:tab w:val="num" w:pos="360"/>
        </w:tabs>
        <w:ind w:left="360" w:hanging="360"/>
      </w:pPr>
    </w:lvl>
  </w:abstractNum>
  <w:num w:numId="11">
    <w:abstractNumId w:val="10"/>
  </w:num>
  <w:abstractNum w:abstractNumId="11">
    <w:multiLevelType w:val="singleLevel"/>
    <w:lvl w:ilvl="0">
      <w:start w:val="3"/>
      <w:numFmt w:val="decimal"/>
      <w:lvlText w:val="%1."/>
      <w:lvlJc w:val="left"/>
      <w:pPr>
        <w:tabs>
          <w:tab w:val="num" w:pos="360"/>
        </w:tabs>
        <w:ind w:left="360" w:hanging="360"/>
      </w:pPr>
    </w:lvl>
  </w:abstractNum>
  <w:num w:numId="12">
    <w:abstractNumId w:val="11"/>
  </w:num>
  <w:abstractNum w:abstractNumId="12">
    <w:multiLevelType w:val="singleLevel"/>
    <w:lvl w:ilvl="0">
      <w:start w:val="4"/>
      <w:numFmt w:val="decimal"/>
      <w:lvlText w:val="%1."/>
      <w:lvlJc w:val="left"/>
      <w:pPr>
        <w:tabs>
          <w:tab w:val="num" w:pos="360"/>
        </w:tabs>
        <w:ind w:left="360" w:hanging="360"/>
      </w:pPr>
    </w:lvl>
  </w:abstract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120" w:line="264" w:lineRule="auto"/>
    </w:pPr>
    <w:rPr>
      <w:rFonts w:ascii="Calibri" w:hAnsi="Calibri"/>
      <w:color w:val="192530"/>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ascii="Calibri" w:hAnsi="Calibri"/>
      <w:b/>
      <w:bCs/>
      <w:color w:val="2E74B5"/>
      <w:sz w:val="32"/>
      <w:szCs w:val="28"/>
    </w:rPr>
  </w:style>
  <w:style w:type="paragraph" w:styleId="Heading2">
    <w:name w:val="heading 2"/>
    <w:basedOn w:val="Normal"/>
    <w:next w:val="Normal"/>
    <w:link w:val="Heading2Char"/>
    <w:uiPriority w:val="9"/>
    <w:unhideWhenUsed/>
    <w:qFormat/>
    <w:rsid w:val="00FC693F"/>
    <w:pPr>
      <w:keepNext/>
      <w:keepLines/>
      <w:spacing w:before="240" w:after="120"/>
      <w:outlineLvl w:val="1"/>
    </w:pPr>
    <w:rPr>
      <w:rFonts w:asciiTheme="majorHAnsi" w:eastAsiaTheme="majorEastAsia" w:hAnsiTheme="majorHAnsi" w:cstheme="majorBidi" w:ascii="Calibri" w:hAnsi="Calibri"/>
      <w:b/>
      <w:bCs/>
      <w:color w:val="2E74B5"/>
      <w:sz w:val="26"/>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ascii="Calibri" w:hAnsi="Calibri"/>
      <w:b/>
      <w:bCs/>
      <w:color w:val="1F4D78"/>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F-01 Notice Of Differing Site Condition</dc:title>
  <dc:subject>Prompt contractor notice of concealed asbestos condition</dc:subject>
  <dc:creator>Peace Walker Infrastructure Partners, LLC (fictional)</dc:creator>
  <cp:keywords>training, construction contracting, Shadow Moses, exercise</cp:keywords>
  <dc:description>Training use only. All names, places, dates, amounts, and requirements are fictional.</dc:description>
  <cp:lastModifiedBy/>
  <cp:revision>1</cp:revision>
  <dcterms:created xsi:type="dcterms:W3CDTF">2013-12-23T23:15:00Z</dcterms:created>
  <dcterms:modified xsi:type="dcterms:W3CDTF">2013-12-23T23:15:00Z</dcterms:modified>
  <cp:category/>
</cp:coreProperties>
</file>