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RAPID ASBESTOS SURVEY RESULTS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Campbell Hall interior wall systems | Report SM-PLM-27-114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Client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713th Civil Engineer Squadron (713 CES)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Collected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7–8 July 2027 by Dr. Para-Medic, CIH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Analyzed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9 July 2027 by polarized-light microscopy with dispersion staining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Scope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Representative concealed joint compound and backing from 20 interior wall-system locations</w:t>
            </w:r>
          </w:p>
        </w:tc>
      </w:tr>
    </w:tbl>
    <w:p>
      <w:pPr>
        <w:pStyle w:val="Heading1"/>
        <w:keepNext/>
      </w:pPr>
      <w:r>
        <w:t>Summary by building zone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350"/>
        <w:gridCol w:w="1850"/>
        <w:gridCol w:w="1850"/>
        <w:gridCol w:w="3310"/>
      </w:tblGrid>
      <w:tr>
        <w:tc>
          <w:tcPr>
            <w:tcW w:type="dxa" w:w="23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Zone</w:t>
            </w:r>
          </w:p>
        </w:tc>
        <w:tc>
          <w:tcPr>
            <w:tcW w:type="dxa" w:w="18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Wall systems sampled</w:t>
            </w:r>
          </w:p>
        </w:tc>
        <w:tc>
          <w:tcPr>
            <w:tcW w:type="dxa" w:w="18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Systems with ACM</w:t>
            </w:r>
          </w:p>
        </w:tc>
        <w:tc>
          <w:tcPr>
            <w:tcW w:type="dxa" w:w="331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Observed asbestos content</w:t>
            </w:r>
          </w:p>
        </w:tc>
      </w:tr>
      <w:tr>
        <w:tc>
          <w:tcPr>
            <w:tcW w:type="dxa" w:w="23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North administration</w:t>
            </w:r>
          </w:p>
        </w:tc>
        <w:tc>
          <w:tcPr>
            <w:tcW w:type="dxa" w:w="1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7</w:t>
            </w:r>
          </w:p>
        </w:tc>
        <w:tc>
          <w:tcPr>
            <w:tcW w:type="dxa" w:w="1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7</w:t>
            </w:r>
          </w:p>
        </w:tc>
        <w:tc>
          <w:tcPr>
            <w:tcW w:type="dxa" w:w="33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3–7% chrysotile in joint compound / backing</w:t>
            </w:r>
          </w:p>
        </w:tc>
      </w:tr>
      <w:tr>
        <w:tc>
          <w:tcPr>
            <w:tcW w:type="dxa" w:w="23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Secure briefing core</w:t>
            </w:r>
          </w:p>
        </w:tc>
        <w:tc>
          <w:tcPr>
            <w:tcW w:type="dxa" w:w="1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4</w:t>
            </w:r>
          </w:p>
        </w:tc>
        <w:tc>
          <w:tcPr>
            <w:tcW w:type="dxa" w:w="1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4</w:t>
            </w:r>
          </w:p>
        </w:tc>
        <w:tc>
          <w:tcPr>
            <w:tcW w:type="dxa" w:w="33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4–8% chrysotile in joint compound / backing</w:t>
            </w:r>
          </w:p>
        </w:tc>
      </w:tr>
      <w:tr>
        <w:tc>
          <w:tcPr>
            <w:tcW w:type="dxa" w:w="23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East office corridor</w:t>
            </w:r>
          </w:p>
        </w:tc>
        <w:tc>
          <w:tcPr>
            <w:tcW w:type="dxa" w:w="1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4</w:t>
            </w:r>
          </w:p>
        </w:tc>
        <w:tc>
          <w:tcPr>
            <w:tcW w:type="dxa" w:w="1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4</w:t>
            </w:r>
          </w:p>
        </w:tc>
        <w:tc>
          <w:tcPr>
            <w:tcW w:type="dxa" w:w="33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3–6% chrysotile in joint compound / backing</w:t>
            </w:r>
          </w:p>
        </w:tc>
      </w:tr>
      <w:tr>
        <w:tc>
          <w:tcPr>
            <w:tcW w:type="dxa" w:w="23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West service wing</w:t>
            </w:r>
          </w:p>
        </w:tc>
        <w:tc>
          <w:tcPr>
            <w:tcW w:type="dxa" w:w="1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5</w:t>
            </w:r>
          </w:p>
        </w:tc>
        <w:tc>
          <w:tcPr>
            <w:tcW w:type="dxa" w:w="1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4</w:t>
            </w:r>
          </w:p>
        </w:tc>
        <w:tc>
          <w:tcPr>
            <w:tcW w:type="dxa" w:w="33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2–7% chrysotile in four systems; one negative</w:t>
            </w:r>
          </w:p>
        </w:tc>
      </w:tr>
      <w:tr>
        <w:tc>
          <w:tcPr>
            <w:tcW w:type="dxa" w:w="23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TOTAL</w:t>
            </w:r>
          </w:p>
        </w:tc>
        <w:tc>
          <w:tcPr>
            <w:tcW w:type="dxa" w:w="1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20</w:t>
            </w:r>
          </w:p>
        </w:tc>
        <w:tc>
          <w:tcPr>
            <w:tcW w:type="dxa" w:w="1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19</w:t>
            </w:r>
          </w:p>
        </w:tc>
        <w:tc>
          <w:tcPr>
            <w:tcW w:type="dxa" w:w="33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19 of 20 representative wall systems positive</w:t>
            </w:r>
          </w:p>
        </w:tc>
      </w:tr>
    </w:tbl>
    <w:p>
      <w:pPr>
        <w:pStyle w:val="Heading1"/>
        <w:keepNext/>
      </w:pPr>
      <w:r>
        <w:t>Laboratory conclusion</w:t>
      </w:r>
    </w:p>
    <w:p>
      <w:pPr>
        <w:keepLines/>
        <w:spacing w:before="0" w:after="140" w:line="264" w:lineRule="auto"/>
        <w:ind w:left="0"/>
      </w:pPr>
      <w:r>
        <w:rPr>
          <w:rFonts w:ascii="Calibri" w:hAnsi="Calibri"/>
          <w:color w:val="192530"/>
          <w:sz w:val="22"/>
        </w:rPr>
        <w:t>Nineteen of the twenty representative wall systems contain asbestos-bearing concealed finish or backing material. On the sampled record, asbestos-containing material is present in approximately ninety-five percent of Campbell Hall's interior wall-system types and is not limited to the utility chases identified in the historical record.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/>
            <w:r>
              <w:rPr>
                <w:rFonts w:ascii="Calibri" w:hAnsi="Calibri"/>
                <w:b/>
                <w:color w:val="8E4F47"/>
                <w:sz w:val="18"/>
              </w:rPr>
              <w:t xml:space="preserve">WORK RESTRICTION. </w:t>
            </w:r>
            <w:r>
              <w:rPr>
                <w:rFonts w:ascii="Calibri" w:hAnsi="Calibri"/>
                <w:color w:val="192530"/>
                <w:sz w:val="18"/>
              </w:rPr>
              <w:t>Do not cut, drill, sand, demolish, or remove affected wall assemblies until an approved abatement method, regulated work area, clearance plan, and qualified personnel are in place.</w:t>
            </w:r>
          </w:p>
        </w:tc>
      </w:tr>
    </w:tbl>
    <w:p>
      <w:pPr>
        <w:keepLines/>
        <w:spacing w:before="160" w:after="0"/>
      </w:pPr>
      <w:r>
        <w:rPr>
          <w:rFonts w:ascii="Calibri" w:hAnsi="Calibri"/>
          <w:b/>
          <w:color w:val="192530"/>
          <w:sz w:val="20"/>
        </w:rPr>
        <w:t>/s/ PARA-MEDIC</w:t>
        <w:br/>
      </w:r>
      <w:r>
        <w:rPr>
          <w:rFonts w:ascii="Calibri" w:hAnsi="Calibri"/>
          <w:color w:val="606A74"/>
          <w:sz w:val="18"/>
        </w:rPr>
        <w:t>Dr. Para-Medic, CIH | Laboratory Technical Director</w:t>
        <w:br/>
        <w:t>9 July 2027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F-02  |  ASBESTOS LABORATORY RESULTS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F-02 Rapid Asbestos Survey Results</dc:title>
  <dc:subject>Laboratory confirmation of extensive concealed asbestos</dc:subject>
  <dc:creator>North Star Industrial Hygiene Laboratory (fictional)</dc:creator>
  <cp:keywords>training, construction contracting, Shadow Moses, exercise</cp:keywords>
  <dc:description>Training use only. All names, places, dates, amounts,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