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before="100" w:after="40"/>
        <w:jc w:val="center"/>
      </w:pPr>
      <w:r>
        <w:rPr>
          <w:rFonts w:ascii="Calibri" w:hAnsi="Calibri"/>
          <w:b/>
          <w:color w:val="192530"/>
          <w:sz w:val="32"/>
        </w:rPr>
        <w:t>DEPARTMENT OF THE AIR FORCE</w:t>
      </w:r>
    </w:p>
    <w:p>
      <w:pPr>
        <w:keepNext/>
        <w:spacing w:before="0" w:after="280"/>
        <w:jc w:val="center"/>
      </w:pPr>
      <w:r>
        <w:rPr>
          <w:rFonts w:ascii="Calibri" w:hAnsi="Calibri"/>
          <w:b/>
          <w:color w:val="606A74"/>
          <w:sz w:val="21"/>
        </w:rPr>
        <w:t>SHADOW MOSES AIR FIELD, ALASKA</w:t>
      </w:r>
    </w:p>
    <w:p>
      <w:pPr>
        <w:keepNext/>
        <w:pageBreakBefore w:val="0"/>
        <w:spacing w:before="80" w:after="60"/>
        <w:jc w:val="center"/>
      </w:pPr>
      <w:r>
        <w:rPr>
          <w:rFonts w:ascii="Calibri" w:hAnsi="Calibri"/>
          <w:b/>
          <w:color w:val="192530"/>
          <w:sz w:val="32"/>
        </w:rPr>
        <w:t>PRE-AWARD EXISTING-CONDITIONS DATA</w:t>
      </w:r>
    </w:p>
    <w:p>
      <w:pPr>
        <w:keepNext/>
        <w:spacing w:before="0" w:after="200"/>
        <w:jc w:val="center"/>
      </w:pPr>
      <w:r>
        <w:rPr>
          <w:rFonts w:ascii="Calibri" w:hAnsi="Calibri"/>
          <w:b/>
          <w:color w:val="606A74"/>
          <w:sz w:val="21"/>
        </w:rPr>
        <w:t>Campbell Hall | Hazardous-material quantity basis furnished with the task-order solicitation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2500"/>
        <w:gridCol w:w="6860"/>
      </w:tblGrid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Record date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18 November 2026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Solicitation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SM-MACC-01 Task-Order Request SM-27-005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Source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2012 limited building survey, record drawings, and 2026 CES walkdown</w:t>
            </w:r>
          </w:p>
        </w:tc>
      </w:tr>
      <w:tr>
        <w:tc>
          <w:tcPr>
            <w:tcW w:type="dxa" w:w="2500"/>
            <w:shd w:fill="F2F4F7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8"/>
              </w:rPr>
              <w:t>Proposal use</w:t>
            </w:r>
          </w:p>
        </w:tc>
        <w:tc>
          <w:tcPr>
            <w:tcW w:type="dxa" w:w="6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8"/>
              </w:rPr>
              <w:t>Government quantity basis for selective demolition, protection, abatement planning, and pricing</w:t>
            </w:r>
          </w:p>
        </w:tc>
      </w:tr>
    </w:tbl>
    <w:p>
      <w:pPr>
        <w:pStyle w:val="Heading1"/>
        <w:keepNext/>
      </w:pPr>
      <w:r>
        <w:t>Wall-system condition indicated to MACC offerors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color="7C8791"/>
          <w:left w:val="single" w:sz="6" w:color="7C8791"/>
          <w:bottom w:val="single" w:sz="6" w:color="7C8791"/>
          <w:right w:val="single" w:sz="6" w:color="7C8791"/>
          <w:insideH w:val="single" w:sz="6" w:color="7C8791"/>
          <w:insideV w:val="single" w:sz="6" w:color="7C8791"/>
        </w:tblBorders>
      </w:tblPr>
      <w:tblGrid>
        <w:gridCol w:w="3200"/>
        <w:gridCol w:w="3860"/>
        <w:gridCol w:w="2300"/>
      </w:tblGrid>
      <w:tr>
        <w:tc>
          <w:tcPr>
            <w:tcW w:type="dxa" w:w="32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Location / assembly</w:t>
            </w:r>
          </w:p>
        </w:tc>
        <w:tc>
          <w:tcPr>
            <w:tcW w:type="dxa" w:w="38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Indicated condition</w:t>
            </w:r>
          </w:p>
        </w:tc>
        <w:tc>
          <w:tcPr>
            <w:tcW w:type="dxa" w:w="230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color w:val="192530"/>
                <w:sz w:val="17"/>
              </w:rPr>
              <w:t>Planning quantity</w:t>
            </w:r>
          </w:p>
        </w:tc>
      </w:tr>
      <w:tr>
        <w:tc>
          <w:tcPr>
            <w:tcW w:type="dxa" w:w="3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Utility chases U-1 through U-4</w:t>
            </w:r>
          </w:p>
        </w:tc>
        <w:tc>
          <w:tcPr>
            <w:tcW w:type="dxa" w:w="3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Asbestos-containing joint compound and backing at localized repairs</w:t>
            </w:r>
          </w:p>
        </w:tc>
        <w:tc>
          <w:tcPr>
            <w:tcW w:type="dxa" w:w="2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Approx. 1,410 SF</w:t>
            </w:r>
          </w:p>
        </w:tc>
      </w:tr>
      <w:tr>
        <w:tc>
          <w:tcPr>
            <w:tcW w:type="dxa" w:w="3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Remaining interior wall systems</w:t>
            </w:r>
          </w:p>
        </w:tc>
        <w:tc>
          <w:tcPr>
            <w:tcW w:type="dxa" w:w="3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No asbestos-containing wall finish identified in available records</w:t>
            </w:r>
          </w:p>
        </w:tc>
        <w:tc>
          <w:tcPr>
            <w:tcW w:type="dxa" w:w="2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Approx. 26,790 SF</w:t>
            </w:r>
          </w:p>
        </w:tc>
      </w:tr>
      <w:tr>
        <w:tc>
          <w:tcPr>
            <w:tcW w:type="dxa" w:w="3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Total interior wall-system area</w:t>
            </w:r>
          </w:p>
        </w:tc>
        <w:tc>
          <w:tcPr>
            <w:tcW w:type="dxa" w:w="3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Limited asbestos expected at named chases</w:t>
            </w:r>
          </w:p>
        </w:tc>
        <w:tc>
          <w:tcPr>
            <w:tcW w:type="dxa" w:w="2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Approx. 28,200 SF</w:t>
            </w:r>
          </w:p>
        </w:tc>
      </w:tr>
      <w:tr>
        <w:tc>
          <w:tcPr>
            <w:tcW w:type="dxa" w:w="32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Indicated asbestos proportion</w:t>
            </w:r>
          </w:p>
        </w:tc>
        <w:tc>
          <w:tcPr>
            <w:tcW w:type="dxa" w:w="386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Localized condition</w:t>
            </w:r>
          </w:p>
        </w:tc>
        <w:tc>
          <w:tcPr>
            <w:tcW w:type="dxa" w:w="2300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color w:val="192530"/>
                <w:sz w:val="17"/>
              </w:rPr>
              <w:t>Approx. 5%</w:t>
            </w:r>
          </w:p>
        </w:tc>
      </w:tr>
    </w:tbl>
    <w:p>
      <w:pPr>
        <w:pStyle w:val="Heading1"/>
        <w:keepNext/>
      </w:pPr>
      <w:r>
        <w:t>Solicitation direction</w:t>
      </w:r>
    </w:p>
    <w:p>
      <w:pPr>
        <w:keepLines/>
        <w:spacing w:before="0" w:after="120" w:line="264" w:lineRule="auto"/>
        <w:numPr>
          <w:ilvl w:val="0"/>
          <w:numId w:val="10"/>
        </w:numPr>
      </w:pPr>
      <w:r>
        <w:rPr>
          <w:rFonts w:ascii="Calibri" w:hAnsi="Calibri"/>
          <w:color w:val="192530"/>
          <w:sz w:val="22"/>
        </w:rPr>
        <w:t>Use the indicated quantities as the proposal basis for hazardous-material controls and selective wall demolition.</w:t>
      </w:r>
    </w:p>
    <w:p>
      <w:pPr>
        <w:keepLines/>
        <w:spacing w:before="0" w:after="120" w:line="264" w:lineRule="auto"/>
        <w:numPr>
          <w:ilvl w:val="0"/>
          <w:numId w:val="11"/>
        </w:numPr>
      </w:pPr>
      <w:r>
        <w:rPr>
          <w:rFonts w:ascii="Calibri" w:hAnsi="Calibri"/>
          <w:color w:val="192530"/>
          <w:sz w:val="22"/>
        </w:rPr>
        <w:t>Coordinate the named chase abatement with occupied-building phasing and temporary protection.</w:t>
      </w:r>
    </w:p>
    <w:p>
      <w:pPr>
        <w:keepLines/>
        <w:spacing w:before="0" w:after="140" w:line="264" w:lineRule="auto"/>
        <w:numPr>
          <w:ilvl w:val="0"/>
          <w:numId w:val="12"/>
        </w:numPr>
      </w:pPr>
      <w:r>
        <w:rPr>
          <w:rFonts w:ascii="Calibri" w:hAnsi="Calibri"/>
          <w:color w:val="192530"/>
          <w:sz w:val="22"/>
        </w:rPr>
        <w:t>If concealed physical conditions materially differ from those indicated, preserve the condition and provide prompt written notice before disturbance in accordance with the incorporated Differing Site Conditions clause.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5" w:color="A8B4BC"/>
          <w:left w:val="single" w:sz="5" w:color="A8B4BC"/>
          <w:bottom w:val="single" w:sz="5" w:color="A8B4BC"/>
          <w:right w:val="single" w:sz="5" w:color="A8B4BC"/>
          <w:insideH w:val="single" w:sz="5" w:color="A8B4BC"/>
          <w:insideV w:val="single" w:sz="5" w:color="A8B4BC"/>
        </w:tblBorders>
      </w:tblPr>
      <w:tblGrid>
        <w:gridCol w:w="9360"/>
      </w:tblGrid>
      <w:tr>
        <w:tc>
          <w:tcPr>
            <w:tcW w:type="dxa" w:w="9360"/>
            <w:shd w:fill="E8EEF5"/>
            <w:vAlign w:val="center"/>
            <w:tcMar>
              <w:top w:w="100" w:type="dxa"/>
              <w:bottom w:w="100" w:type="dxa"/>
              <w:start w:w="120" w:type="dxa"/>
              <w:end w:w="120" w:type="dxa"/>
            </w:tcMar>
          </w:tcPr>
          <w:p>
            <w:pPr>
              <w:spacing w:before="40" w:after="40" w:line="252" w:lineRule="auto"/>
            </w:pPr>
            <w:r/>
            <w:r>
              <w:rPr>
                <w:rFonts w:ascii="Calibri" w:hAnsi="Calibri"/>
                <w:b/>
                <w:color w:val="8E4F47"/>
                <w:sz w:val="18"/>
              </w:rPr>
              <w:t xml:space="preserve">RECORD STATUS. </w:t>
            </w:r>
            <w:r>
              <w:rPr>
                <w:rFonts w:ascii="Calibri" w:hAnsi="Calibri"/>
                <w:color w:val="192530"/>
                <w:sz w:val="18"/>
              </w:rPr>
              <w:t>This data sheet was included in the Government task-order request issued to all SM-MACC-01 holders and incorporated into the awarded Campbell Hall order.</w:t>
            </w:r>
          </w:p>
        </w:tc>
      </w:tr>
    </w:tbl>
    <w:p>
      <w:pPr>
        <w:keepLines/>
        <w:spacing w:before="160" w:after="0"/>
      </w:pPr>
      <w:r>
        <w:rPr>
          <w:rFonts w:ascii="Calibri" w:hAnsi="Calibri"/>
          <w:b/>
          <w:color w:val="192530"/>
          <w:sz w:val="20"/>
        </w:rPr>
        <w:t>/s/ HAL EMMERICH</w:t>
        <w:br/>
      </w:r>
      <w:r>
        <w:rPr>
          <w:rFonts w:ascii="Calibri" w:hAnsi="Calibri"/>
          <w:color w:val="606A74"/>
          <w:sz w:val="18"/>
        </w:rPr>
        <w:t>Dr. Hal Emmerich, Chief Facilities Engineer, 713 CES</w:t>
        <w:br/>
        <w:t>18 November 2026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440" w:bottom="1037" w:left="1440" w:header="403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/>
        <w:color w:val="606A74"/>
        <w:sz w:val="17"/>
      </w:rPr>
      <w:t xml:space="preserve">F-03  |  HISTORICAL GOVERNMENT INFORMATION  |  DRAFT  |  Page </w:t>
    </w:r>
    <w:r>
      <w:rPr>
        <w:rFonts w:ascii="Calibri" w:hAnsi="Calibri"/>
        <w:color w:val="606A74"/>
        <w:sz w:val="17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/>
        <w:color w:val="606A74"/>
        <w:sz w:val="17"/>
      </w:rPr>
      <w:t xml:space="preserve"> of </w:t>
    </w:r>
    <w:r>
      <w:rPr>
        <w:rFonts w:ascii="Calibri" w:hAnsi="Calibri"/>
        <w:color w:val="606A74"/>
        <w:sz w:val="17"/>
      </w:rPr>
      <w:fldChar w:fldCharType="begin"/>
      <w:instrText xml:space="preserve">NUMPAGES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/>
      <w:jc w:val="right"/>
    </w:pPr>
    <w:r>
      <w:rPr>
        <w:rFonts w:ascii="Calibri" w:hAnsi="Calibri"/>
        <w:b/>
        <w:color w:val="606A74"/>
        <w:sz w:val="17"/>
      </w:rPr>
      <w:t>EXERCISE USE ONLY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0">
    <w:abstractNumId w:val="9"/>
  </w:num>
  <w:abstractNum w:abstractNumId="10">
    <w:multiLevelType w:val="singleLevel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1">
    <w:abstractNumId w:val="10"/>
  </w:num>
  <w:abstractNum w:abstractNumId="11">
    <w:multiLevelType w:val="singleLevel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color w:val="19253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F-03 Pre-Award Existing-Conditions Data</dc:title>
  <dc:subject>Government historical asbestos information used for Campbell Hall proposals</dc:subject>
  <dc:creator>713th Civil Engineer Squadron (fictional)</dc:creator>
  <cp:keywords>training, construction contracting, Shadow Moses, exercise</cp:keywords>
  <dc:description>Training use only. All names, places, dates, amounts, and requirements are fictional.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