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PRELIMINARY FUNDING-INCREASE ESTIMATE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Campbell Hall expanded asbestos response | Planning record as of 12 July 2027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Task order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FA-27-005 | Peace Walker Infrastructure Partners, LLC | $26.40M FFP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Condition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19 of 20 representative interior wall systems contain concealed ACM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Status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Government planning range only; no contractor proposal, negotiated amount, or certified additional funds</w:t>
            </w:r>
          </w:p>
        </w:tc>
      </w:tr>
    </w:tbl>
    <w:p>
      <w:pPr>
        <w:pStyle w:val="Heading1"/>
        <w:keepNext/>
      </w:pPr>
      <w:r>
        <w:t>Preliminary upward-obligation range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3900"/>
        <w:gridCol w:w="1820"/>
        <w:gridCol w:w="1820"/>
        <w:gridCol w:w="1820"/>
      </w:tblGrid>
      <w:tr>
        <w:tc>
          <w:tcPr>
            <w:tcW w:type="dxa" w:w="39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Planning component</w:t>
            </w:r>
          </w:p>
        </w:tc>
        <w:tc>
          <w:tcPr>
            <w:tcW w:type="dxa" w:w="18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Low</w:t>
            </w:r>
          </w:p>
        </w:tc>
        <w:tc>
          <w:tcPr>
            <w:tcW w:type="dxa" w:w="18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Working</w:t>
            </w:r>
          </w:p>
        </w:tc>
        <w:tc>
          <w:tcPr>
            <w:tcW w:type="dxa" w:w="18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High</w:t>
            </w:r>
          </w:p>
        </w:tc>
      </w:tr>
      <w:tr>
        <w:tc>
          <w:tcPr>
            <w:tcW w:type="dxa" w:w="3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Expanded containment, removal, disposal, and monitoring</w:t>
            </w:r>
          </w:p>
        </w:tc>
        <w:tc>
          <w:tcPr>
            <w:tcW w:type="dxa" w:w="18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$1.25M</w:t>
            </w:r>
          </w:p>
        </w:tc>
        <w:tc>
          <w:tcPr>
            <w:tcW w:type="dxa" w:w="18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$1.50M</w:t>
            </w:r>
          </w:p>
        </w:tc>
        <w:tc>
          <w:tcPr>
            <w:tcW w:type="dxa" w:w="18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$1.75M</w:t>
            </w:r>
          </w:p>
        </w:tc>
      </w:tr>
      <w:tr>
        <w:tc>
          <w:tcPr>
            <w:tcW w:type="dxa" w:w="3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Temporary protection, access, and occupied-building controls</w:t>
            </w:r>
          </w:p>
        </w:tc>
        <w:tc>
          <w:tcPr>
            <w:tcW w:type="dxa" w:w="18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$0.20M</w:t>
            </w:r>
          </w:p>
        </w:tc>
        <w:tc>
          <w:tcPr>
            <w:tcW w:type="dxa" w:w="18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$0.25M</w:t>
            </w:r>
          </w:p>
        </w:tc>
        <w:tc>
          <w:tcPr>
            <w:tcW w:type="dxa" w:w="18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$0.30M</w:t>
            </w:r>
          </w:p>
        </w:tc>
      </w:tr>
      <w:tr>
        <w:tc>
          <w:tcPr>
            <w:tcW w:type="dxa" w:w="3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Wall restoration and systems rework attributable to abatement</w:t>
            </w:r>
          </w:p>
        </w:tc>
        <w:tc>
          <w:tcPr>
            <w:tcW w:type="dxa" w:w="18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$0.45M</w:t>
            </w:r>
          </w:p>
        </w:tc>
        <w:tc>
          <w:tcPr>
            <w:tcW w:type="dxa" w:w="18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$0.55M</w:t>
            </w:r>
          </w:p>
        </w:tc>
        <w:tc>
          <w:tcPr>
            <w:tcW w:type="dxa" w:w="18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$0.65M</w:t>
            </w:r>
          </w:p>
        </w:tc>
      </w:tr>
      <w:tr>
        <w:tc>
          <w:tcPr>
            <w:tcW w:type="dxa" w:w="3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Time-related field overhead and schedule support</w:t>
            </w:r>
          </w:p>
        </w:tc>
        <w:tc>
          <w:tcPr>
            <w:tcW w:type="dxa" w:w="18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$0.30M</w:t>
            </w:r>
          </w:p>
        </w:tc>
        <w:tc>
          <w:tcPr>
            <w:tcW w:type="dxa" w:w="18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$0.30M</w:t>
            </w:r>
          </w:p>
        </w:tc>
        <w:tc>
          <w:tcPr>
            <w:tcW w:type="dxa" w:w="18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$0.30M</w:t>
            </w:r>
          </w:p>
        </w:tc>
      </w:tr>
      <w:tr>
        <w:tc>
          <w:tcPr>
            <w:tcW w:type="dxa" w:w="3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TOTAL PLANNING RANGE</w:t>
            </w:r>
          </w:p>
        </w:tc>
        <w:tc>
          <w:tcPr>
            <w:tcW w:type="dxa" w:w="18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$2.20M</w:t>
            </w:r>
          </w:p>
        </w:tc>
        <w:tc>
          <w:tcPr>
            <w:tcW w:type="dxa" w:w="18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$2.60M</w:t>
            </w:r>
          </w:p>
        </w:tc>
        <w:tc>
          <w:tcPr>
            <w:tcW w:type="dxa" w:w="18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$3.00M</w:t>
            </w:r>
          </w:p>
        </w:tc>
      </w:tr>
    </w:tbl>
    <w:p>
      <w:pPr>
        <w:pStyle w:val="Heading1"/>
        <w:keepNext/>
      </w:pPr>
      <w:r>
        <w:t>Earliest projected approval sequence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3350"/>
        <w:gridCol w:w="1800"/>
        <w:gridCol w:w="4210"/>
      </w:tblGrid>
      <w:tr>
        <w:tc>
          <w:tcPr>
            <w:tcW w:type="dxa" w:w="33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6"/>
              </w:rPr>
              <w:t>Milestone</w:t>
            </w:r>
          </w:p>
        </w:tc>
        <w:tc>
          <w:tcPr>
            <w:tcW w:type="dxa" w:w="18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6"/>
              </w:rPr>
              <w:t>Planning date</w:t>
            </w:r>
          </w:p>
        </w:tc>
        <w:tc>
          <w:tcPr>
            <w:tcW w:type="dxa" w:w="421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6"/>
              </w:rPr>
              <w:t>Dependency</w:t>
            </w:r>
          </w:p>
        </w:tc>
      </w:tr>
      <w:tr>
        <w:tc>
          <w:tcPr>
            <w:tcW w:type="dxa" w:w="33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Contractor segregated proposal / schedule analysis</w:t>
            </w:r>
          </w:p>
        </w:tc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14 Jul 2027</w:t>
            </w:r>
          </w:p>
        </w:tc>
        <w:tc>
          <w:tcPr>
            <w:tcW w:type="dxa" w:w="42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Complete quantities, mitigation, and critical-path record</w:t>
            </w:r>
          </w:p>
        </w:tc>
      </w:tr>
      <w:tr>
        <w:tc>
          <w:tcPr>
            <w:tcW w:type="dxa" w:w="33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Government technical, price, scope, legal, and fiscal review</w:t>
            </w:r>
          </w:p>
        </w:tc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18-20 Jul 2027</w:t>
            </w:r>
          </w:p>
        </w:tc>
        <w:tc>
          <w:tcPr>
            <w:tcW w:type="dxa" w:w="42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Validated quantities, IGCE, entitlement, authority, and negotiation objective</w:t>
            </w:r>
          </w:p>
        </w:tc>
      </w:tr>
      <w:tr>
        <w:tc>
          <w:tcPr>
            <w:tcW w:type="dxa" w:w="33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Earliest additional certification and modification</w:t>
            </w:r>
          </w:p>
        </w:tc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22 Jul 2027</w:t>
            </w:r>
          </w:p>
        </w:tc>
        <w:tc>
          <w:tcPr>
            <w:tcW w:type="dxa" w:w="42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Approved funding action, Finance certification, and signed agreement</w:t>
            </w:r>
          </w:p>
        </w:tc>
      </w:tr>
      <w:tr>
        <w:tc>
          <w:tcPr>
            <w:tcW w:type="dxa" w:w="33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Targeted abatement and clearance</w:t>
            </w:r>
          </w:p>
        </w:tc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23 Jul-5 Aug 2027</w:t>
            </w:r>
          </w:p>
        </w:tc>
        <w:tc>
          <w:tcPr>
            <w:tcW w:type="dxa" w:w="42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Qualified crews, regulated areas, monitoring, and clearance results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5EFD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/>
            <w:r>
              <w:rPr>
                <w:rFonts w:ascii="Calibri" w:hAnsi="Calibri"/>
                <w:b/>
                <w:color w:val="8E4F47"/>
                <w:sz w:val="18"/>
              </w:rPr>
              <w:t xml:space="preserve">PLANNING USE ONLY. </w:t>
            </w:r>
            <w:r>
              <w:rPr>
                <w:rFonts w:ascii="Calibri" w:hAnsi="Calibri"/>
                <w:color w:val="192530"/>
                <w:sz w:val="18"/>
              </w:rPr>
              <w:t>The estimate and dates create no entitlement or work authority. Any adjustment still requires validation, a fair-and-reasonable determination, certified funds, and a written Contracting Officer modification.</w:t>
            </w:r>
          </w:p>
        </w:tc>
      </w:tr>
    </w:tbl>
    <w:p>
      <w:pPr>
        <w:keepLines/>
        <w:spacing w:before="60" w:after="0"/>
      </w:pPr>
      <w:r>
        <w:rPr>
          <w:rFonts w:ascii="Calibri" w:hAnsi="Calibri"/>
          <w:b/>
          <w:color w:val="192530"/>
          <w:sz w:val="17"/>
        </w:rPr>
        <w:t xml:space="preserve">/s/ ROSEMARY MARQUEZ | </w:t>
      </w:r>
      <w:r>
        <w:rPr>
          <w:rFonts w:ascii="Calibri" w:hAnsi="Calibri"/>
          <w:color w:val="606A74"/>
          <w:sz w:val="17"/>
        </w:rPr>
        <w:t>Capt, USAF | Financial Management Officer, 713 CPTS | 12 July 2027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F-05  |  FUNDING INCREASE PLANNING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25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F-05 Preliminary Funding-Increase Estimate</dc:title>
  <dc:subject>Preliminary upward obligation estimate and approval timeline</dc:subject>
  <dc:creator>713th Civil Engineer Squadron and 713th Comptroller Squadron (fictional)</dc:creator>
  <cp:keywords>training, construction contracting, Shadow Moses, exercise</cp:keywords>
  <dc:description>Training use only. All names, places, dates, amounts,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