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pageBreakBefore w:val="0"/>
        <w:spacing w:before="80" w:after="60"/>
        <w:jc w:val="center"/>
      </w:pPr>
      <w:r>
        <w:rPr>
          <w:rFonts w:ascii="Calibri" w:hAnsi="Calibri"/>
          <w:b/>
          <w:color w:val="192530"/>
          <w:sz w:val="32"/>
        </w:rPr>
        <w:t>COMMAND POST DESIGN-BUILD PROPOSAL</w:t>
      </w:r>
    </w:p>
    <w:p>
      <w:pPr>
        <w:keepNext/>
        <w:spacing w:before="0" w:after="200"/>
        <w:jc w:val="center"/>
      </w:pPr>
      <w:r>
        <w:rPr>
          <w:rFonts w:ascii="Calibri" w:hAnsi="Calibri"/>
          <w:b/>
          <w:color w:val="606A74"/>
          <w:sz w:val="21"/>
        </w:rPr>
        <w:t>Diamond Dogs Civil Works, LLC | CP-27-008 | Submitted 21 July 2027</w:t>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EAF1F5"/>
            <w:vAlign w:val="center"/>
            <w:tcMar>
              <w:top w:w="100" w:type="dxa"/>
              <w:bottom w:w="100" w:type="dxa"/>
              <w:start w:w="120" w:type="dxa"/>
              <w:end w:w="120" w:type="dxa"/>
            </w:tcMar>
          </w:tcPr>
          <w:p>
            <w:pPr>
              <w:spacing w:after="0" w:line="252" w:lineRule="auto"/>
            </w:pPr>
            <w:r>
              <w:rPr>
                <w:rFonts w:ascii="Calibri" w:hAnsi="Calibri"/>
                <w:b/>
                <w:color w:val="8E4F47"/>
                <w:sz w:val="18"/>
              </w:rPr>
              <w:t xml:space="preserve">OFFEROR STATEMENT. </w:t>
            </w:r>
            <w:r>
              <w:rPr>
                <w:rFonts w:ascii="Calibri" w:hAnsi="Calibri"/>
                <w:color w:val="192530"/>
                <w:sz w:val="18"/>
              </w:rPr>
              <w:t>Mission resilience through an integrated secure-operations design</w:t>
            </w:r>
          </w:p>
        </w:tc>
      </w:tr>
    </w:tbl>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500"/>
        <w:gridCol w:w="6860"/>
      </w:tblGrid>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Firm-fixed price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$8,615,000</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Calendar duration</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410 days from notice to proceed</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Proposed turnover</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29 September 2028 · 16 days before required date</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Proposal validity</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120 calendar days</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Design responsibility</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Complete post-award design and construction by the design-builder</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Boulder stand-off</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North 62 ft · East 74 ft · South 58 ft · West 36 ft from the corresponding exterior wall</w:t>
            </w:r>
          </w:p>
        </w:tc>
      </w:tr>
    </w:tbl>
    <w:p>
      <w:pPr>
        <w:pStyle w:val="Heading1"/>
        <w:keepNext/>
      </w:pPr>
      <w:r>
        <w:t>Executive approach</w:t>
      </w:r>
    </w:p>
    <w:p>
      <w:pPr>
        <w:keepLines/>
        <w:spacing w:before="0" w:after="120" w:line="264" w:lineRule="auto"/>
        <w:ind w:left="0"/>
      </w:pPr>
      <w:r>
        <w:rPr>
          <w:rFonts w:ascii="Calibri" w:hAnsi="Calibri"/>
          <w:color w:val="192530"/>
          <w:sz w:val="22"/>
        </w:rPr>
        <w:t>Diamond Dogs Civil Works, LLC offers one integrated design-build team for Building 100. The concept addresses 24/7 operations, secure communications, cold-region envelope performance, resilient utilities, controlled access, and fixed site-security barriers while retaining the existing footprint. Its boulder perimeter is 62 feet north, 74 feet east, 58 feet south, and 36 feet west of the corresponding exterior walls.</w:t>
      </w:r>
    </w:p>
    <w:p>
      <w:pPr>
        <w:pStyle w:val="Heading1"/>
        <w:keepNext/>
      </w:pPr>
      <w:r>
        <w:t>Response to stated evaluation factors</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450"/>
        <w:gridCol w:w="6910"/>
      </w:tblGrid>
      <w:tr>
        <w:trPr>
          <w:tblHeader w:val="true"/>
        </w:trPr>
        <w:tc>
          <w:tcPr>
            <w:tcW w:type="dxa" w:w="24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Factor</w:t>
            </w:r>
          </w:p>
        </w:tc>
        <w:tc>
          <w:tcPr>
            <w:tcW w:type="dxa" w:w="691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Offeror response</w:t>
            </w:r>
          </w:p>
        </w:tc>
      </w:tr>
      <w:tr>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Technical approach</w:t>
            </w:r>
          </w:p>
        </w:tc>
        <w:tc>
          <w:tcPr>
            <w:tcW w:type="dxa" w:w="6910"/>
            <w:vAlign w:val="center"/>
            <w:tcMar>
              <w:top w:w="100" w:type="dxa"/>
              <w:bottom w:w="100" w:type="dxa"/>
              <w:start w:w="120" w:type="dxa"/>
              <w:end w:w="120" w:type="dxa"/>
            </w:tcMar>
          </w:tcPr>
          <w:p>
            <w:pPr>
              <w:spacing w:before="0" w:after="0" w:line="240" w:lineRule="auto"/>
            </w:pPr>
            <w:r>
              <w:rPr>
                <w:rFonts w:ascii="Calibri" w:hAnsi="Calibri"/>
                <w:b w:val="0"/>
                <w:color w:val="192530"/>
                <w:sz w:val="16"/>
              </w:rPr>
              <w:t>Exceptional. Central operations floor; secure rooms along the east service spine; public entry south; controlled service entry east. Two energy-recovery air handlers and three 50-percent hydronic boilers provide maintainable redundancy. Sectionalized distribution, a 150 kVA UPS, and two 300 kW generators support continuous operations.</w:t>
            </w:r>
          </w:p>
        </w:tc>
      </w:tr>
      <w:tr>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Management approach</w:t>
            </w:r>
          </w:p>
        </w:tc>
        <w:tc>
          <w:tcPr>
            <w:tcW w:type="dxa" w:w="6910"/>
            <w:vAlign w:val="center"/>
            <w:tcMar>
              <w:top w:w="100" w:type="dxa"/>
              <w:bottom w:w="100" w:type="dxa"/>
              <w:start w:w="120" w:type="dxa"/>
              <w:end w:w="120" w:type="dxa"/>
            </w:tcMar>
          </w:tcPr>
          <w:p>
            <w:pPr>
              <w:spacing w:before="0" w:after="0" w:line="240" w:lineRule="auto"/>
            </w:pPr>
            <w:r>
              <w:rPr>
                <w:rFonts w:ascii="Calibri" w:hAnsi="Calibri"/>
                <w:b w:val="0"/>
                <w:color w:val="192530"/>
                <w:sz w:val="16"/>
              </w:rPr>
              <w:t>Very Good. One accountable manager; integrated submittal register; weekly discipline coordination; quality-control and safety gates.</w:t>
            </w:r>
          </w:p>
        </w:tc>
      </w:tr>
      <w:tr>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Schedule</w:t>
            </w:r>
          </w:p>
        </w:tc>
        <w:tc>
          <w:tcPr>
            <w:tcW w:type="dxa" w:w="6910"/>
            <w:vAlign w:val="center"/>
            <w:tcMar>
              <w:top w:w="100" w:type="dxa"/>
              <w:bottom w:w="100" w:type="dxa"/>
              <w:start w:w="120" w:type="dxa"/>
              <w:end w:w="120" w:type="dxa"/>
            </w:tcMar>
          </w:tcPr>
          <w:p>
            <w:pPr>
              <w:spacing w:before="0" w:after="0" w:line="240" w:lineRule="auto"/>
            </w:pPr>
            <w:r>
              <w:rPr>
                <w:rFonts w:ascii="Calibri" w:hAnsi="Calibri"/>
                <w:b w:val="0"/>
                <w:color w:val="192530"/>
                <w:sz w:val="16"/>
              </w:rPr>
              <w:t>Very Good. 410 days; turnover 29 September 2028; 16 days of stated contingency.</w:t>
            </w:r>
          </w:p>
        </w:tc>
      </w:tr>
      <w:tr>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Key personnel</w:t>
            </w:r>
          </w:p>
        </w:tc>
        <w:tc>
          <w:tcPr>
            <w:tcW w:type="dxa" w:w="6910"/>
            <w:vAlign w:val="center"/>
            <w:tcMar>
              <w:top w:w="100" w:type="dxa"/>
              <w:bottom w:w="100" w:type="dxa"/>
              <w:start w:w="120" w:type="dxa"/>
              <w:end w:w="120" w:type="dxa"/>
            </w:tcMar>
          </w:tcPr>
          <w:p>
            <w:pPr>
              <w:spacing w:before="0" w:after="0" w:line="240" w:lineRule="auto"/>
            </w:pPr>
            <w:r>
              <w:rPr>
                <w:rFonts w:ascii="Calibri" w:hAnsi="Calibri"/>
                <w:b w:val="0"/>
                <w:color w:val="192530"/>
                <w:sz w:val="16"/>
              </w:rPr>
              <w:t>Dedicated program manager, design manager, and superintendent identified below.</w:t>
            </w:r>
          </w:p>
        </w:tc>
      </w:tr>
      <w:tr>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Past performance</w:t>
            </w:r>
          </w:p>
        </w:tc>
        <w:tc>
          <w:tcPr>
            <w:tcW w:type="dxa" w:w="6910"/>
            <w:vAlign w:val="center"/>
            <w:tcMar>
              <w:top w:w="100" w:type="dxa"/>
              <w:bottom w:w="100" w:type="dxa"/>
              <w:start w:w="120" w:type="dxa"/>
              <w:end w:w="120" w:type="dxa"/>
            </w:tcMar>
          </w:tcPr>
          <w:p>
            <w:pPr>
              <w:spacing w:before="0" w:after="0" w:line="240" w:lineRule="auto"/>
            </w:pPr>
            <w:r>
              <w:rPr>
                <w:rFonts w:ascii="Calibri" w:hAnsi="Calibri"/>
                <w:b w:val="0"/>
                <w:color w:val="192530"/>
                <w:sz w:val="16"/>
              </w:rPr>
              <w:t>Three comparable records supplied with quality, timeliness, and cost-control context.</w:t>
            </w:r>
          </w:p>
        </w:tc>
      </w:tr>
      <w:tr>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Price</w:t>
            </w:r>
          </w:p>
        </w:tc>
        <w:tc>
          <w:tcPr>
            <w:tcW w:type="dxa" w:w="6910"/>
            <w:vAlign w:val="center"/>
            <w:tcMar>
              <w:top w:w="100" w:type="dxa"/>
              <w:bottom w:w="100" w:type="dxa"/>
              <w:start w:w="120" w:type="dxa"/>
              <w:end w:w="120" w:type="dxa"/>
            </w:tcMar>
          </w:tcPr>
          <w:p>
            <w:pPr>
              <w:spacing w:before="0" w:after="0" w:line="240" w:lineRule="auto"/>
            </w:pPr>
            <w:r>
              <w:rPr>
                <w:rFonts w:ascii="Calibri" w:hAnsi="Calibri"/>
                <w:b w:val="0"/>
                <w:color w:val="192530"/>
                <w:sz w:val="16"/>
              </w:rPr>
              <w:t>Firm-fixed price of $8,615,000 for complete design, construction, commissioning, training, and closeout.</w:t>
            </w:r>
          </w:p>
        </w:tc>
      </w:tr>
    </w:tbl>
    <w:p>
      <w:pPr>
        <w:pStyle w:val="Heading1"/>
        <w:keepNext/>
      </w:pPr>
      <w:r>
        <w:t>Principal strengths</w:t>
      </w:r>
    </w:p>
    <w:p>
      <w:pPr>
        <w:pStyle w:val="ListBullet"/>
        <w:keepLines/>
        <w:spacing w:after="80" w:line="252" w:lineRule="auto"/>
      </w:pPr>
      <w:r>
        <w:rPr>
          <w:rFonts w:ascii="Calibri" w:hAnsi="Calibri"/>
          <w:color w:val="192530"/>
          <w:sz w:val="18"/>
        </w:rPr>
        <w:t>Most resilient mechanical and electrical concept.</w:t>
      </w:r>
    </w:p>
    <w:p>
      <w:pPr>
        <w:pStyle w:val="ListBullet"/>
        <w:keepLines/>
        <w:spacing w:after="80" w:line="252" w:lineRule="auto"/>
      </w:pPr>
      <w:r>
        <w:rPr>
          <w:rFonts w:ascii="Calibri" w:hAnsi="Calibri"/>
          <w:color w:val="192530"/>
          <w:sz w:val="18"/>
        </w:rPr>
        <w:t>One-model design-management plan with weekly discipline clash reviews.</w:t>
      </w:r>
    </w:p>
    <w:p>
      <w:pPr>
        <w:pStyle w:val="ListBullet"/>
        <w:keepLines/>
        <w:spacing w:after="80" w:line="252" w:lineRule="auto"/>
      </w:pPr>
      <w:r>
        <w:rPr>
          <w:rFonts w:ascii="Calibri" w:hAnsi="Calibri"/>
          <w:color w:val="192530"/>
          <w:sz w:val="18"/>
        </w:rPr>
        <w:t>Strongest key-personnel depth and most relevant secure-facility record.</w:t>
      </w:r>
    </w:p>
    <w:p>
      <w:pPr>
        <w:keepNext/>
        <w:pageBreakBefore/>
        <w:spacing w:before="80" w:after="60"/>
        <w:jc w:val="center"/>
      </w:pPr>
      <w:r>
        <w:rPr>
          <w:rFonts w:ascii="Calibri" w:hAnsi="Calibri"/>
          <w:b/>
          <w:color w:val="192530"/>
          <w:sz w:val="32"/>
        </w:rPr>
        <w:t>CONCEPT DESIGN</w:t>
      </w:r>
    </w:p>
    <w:p>
      <w:pPr>
        <w:keepNext/>
        <w:spacing w:before="0" w:after="200"/>
        <w:jc w:val="center"/>
      </w:pPr>
      <w:r>
        <w:rPr>
          <w:rFonts w:ascii="Calibri" w:hAnsi="Calibri"/>
          <w:b/>
          <w:color w:val="606A74"/>
          <w:sz w:val="21"/>
        </w:rPr>
        <w:t>Offeror-developed floor, systems, and security layout · not construction documents</w:t>
      </w:r>
    </w:p>
    <w:p>
      <w:pPr>
        <w:jc w:val="center"/>
      </w:pPr>
      <w:r>
        <w:drawing>
          <wp:inline xmlns:a="http://schemas.openxmlformats.org/drawingml/2006/main" xmlns:pic="http://schemas.openxmlformats.org/drawingml/2006/picture">
            <wp:extent cx="5852160" cy="6966857"/>
            <wp:docPr id="1" name="Picture 1" title="Diamond Dogs Civil Works, LLC Command Post concept" descr="Concept sheet drawn to a common graphic scale showing a 150-foot east-west by 120-foot north-south Building 100 footprint, Diamond Dogs Civil Works, LLC's floor arrangement, system routes, materials, entrances, and fixed boulder perimeter. Dimension labels state the proposed north, east, south, and west offsets from the corresponding exterior walls; the west offset is 36 feet."/>
            <wp:cNvGraphicFramePr>
              <a:graphicFrameLocks noChangeAspect="1"/>
            </wp:cNvGraphicFramePr>
            <a:graphic>
              <a:graphicData uri="http://schemas.openxmlformats.org/drawingml/2006/picture">
                <pic:pic>
                  <pic:nvPicPr>
                    <pic:cNvPr id="0" name="G-03_Diamond_Dogs_Command_Post_Concept.png"/>
                    <pic:cNvPicPr/>
                  </pic:nvPicPr>
                  <pic:blipFill>
                    <a:blip r:embed="rId11"/>
                    <a:stretch>
                      <a:fillRect/>
                    </a:stretch>
                  </pic:blipFill>
                  <pic:spPr>
                    <a:xfrm>
                      <a:off x="0" y="0"/>
                      <a:ext cx="5852160" cy="6966857"/>
                    </a:xfrm>
                    <a:prstGeom prst="rect"/>
                  </pic:spPr>
                </pic:pic>
              </a:graphicData>
            </a:graphic>
          </wp:inline>
        </w:drawing>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F5EFD9"/>
            <w:vAlign w:val="center"/>
            <w:tcMar>
              <w:top w:w="100" w:type="dxa"/>
              <w:bottom w:w="100" w:type="dxa"/>
              <w:start w:w="120" w:type="dxa"/>
              <w:end w:w="120" w:type="dxa"/>
            </w:tcMar>
          </w:tcPr>
          <w:p>
            <w:pPr>
              <w:spacing w:after="0" w:line="252" w:lineRule="auto"/>
            </w:pPr>
            <w:r>
              <w:rPr>
                <w:rFonts w:ascii="Calibri" w:hAnsi="Calibri"/>
                <w:b/>
                <w:color w:val="8E4F47"/>
                <w:sz w:val="18"/>
              </w:rPr>
              <w:t xml:space="preserve">DESIGN STATUS. </w:t>
            </w:r>
            <w:r>
              <w:rPr>
                <w:rFonts w:ascii="Calibri" w:hAnsi="Calibri"/>
                <w:color w:val="192530"/>
                <w:sz w:val="18"/>
              </w:rPr>
              <w:t>This is a concept-level submission. Final dimensions, calculations, grading, utilities, foundations, anchorage, and construction details will be developed after award through the required design reviews.</w:t>
            </w:r>
          </w:p>
        </w:tc>
      </w:tr>
    </w:tbl>
    <w:p>
      <w:pPr>
        <w:keepNext/>
        <w:pageBreakBefore/>
        <w:spacing w:before="80" w:after="60"/>
        <w:jc w:val="center"/>
      </w:pPr>
      <w:r>
        <w:rPr>
          <w:rFonts w:ascii="Calibri" w:hAnsi="Calibri"/>
          <w:b/>
          <w:color w:val="192530"/>
          <w:sz w:val="32"/>
        </w:rPr>
        <w:t>MANAGEMENT AND SCHEDULE</w:t>
      </w:r>
    </w:p>
    <w:p>
      <w:pPr>
        <w:keepNext/>
        <w:spacing w:before="0" w:after="200"/>
        <w:jc w:val="center"/>
      </w:pPr>
      <w:r>
        <w:rPr>
          <w:rFonts w:ascii="Calibri" w:hAnsi="Calibri"/>
          <w:b/>
          <w:color w:val="606A74"/>
          <w:sz w:val="21"/>
        </w:rPr>
        <w:t>Design-construction integration and proposed control plan</w:t>
      </w:r>
    </w:p>
    <w:p>
      <w:pPr>
        <w:pStyle w:val="Heading1"/>
        <w:keepNext/>
      </w:pPr>
      <w:r>
        <w:t>Management approach</w:t>
      </w:r>
    </w:p>
    <w:p>
      <w:pPr>
        <w:pStyle w:val="ListBullet"/>
        <w:keepLines/>
        <w:spacing w:after="80" w:line="252" w:lineRule="auto"/>
      </w:pPr>
      <w:r>
        <w:rPr>
          <w:rFonts w:ascii="Calibri" w:hAnsi="Calibri"/>
          <w:color w:val="192530"/>
          <w:sz w:val="20"/>
        </w:rPr>
        <w:t>One program manager controls price, schedule, design, construction, subcontracts, and Government correspondence.</w:t>
      </w:r>
    </w:p>
    <w:p>
      <w:pPr>
        <w:pStyle w:val="ListBullet"/>
        <w:keepLines/>
        <w:spacing w:after="80" w:line="252" w:lineRule="auto"/>
      </w:pPr>
      <w:r>
        <w:rPr>
          <w:rFonts w:ascii="Calibri" w:hAnsi="Calibri"/>
          <w:color w:val="192530"/>
          <w:sz w:val="20"/>
        </w:rPr>
        <w:t>A common design model, submittal register, and weekly meeting link architectural, structural, civil, mechanical, electrical, communications, security, fire, and commissioning disciplines.</w:t>
      </w:r>
    </w:p>
    <w:p>
      <w:pPr>
        <w:pStyle w:val="ListBullet"/>
        <w:keepLines/>
        <w:spacing w:after="80" w:line="252" w:lineRule="auto"/>
      </w:pPr>
      <w:r>
        <w:rPr>
          <w:rFonts w:ascii="Calibri" w:hAnsi="Calibri"/>
          <w:color w:val="192530"/>
          <w:sz w:val="20"/>
        </w:rPr>
        <w:t>Preparatory, initial, and follow-up quality-control phases precede each definable feature; safety planning and activity-hazard analysis are integrated into release decisions.</w:t>
      </w:r>
    </w:p>
    <w:p>
      <w:pPr>
        <w:pStyle w:val="ListBullet"/>
        <w:keepLines/>
        <w:spacing w:after="80" w:line="252" w:lineRule="auto"/>
      </w:pPr>
      <w:r>
        <w:rPr>
          <w:rFonts w:ascii="Calibri" w:hAnsi="Calibri"/>
          <w:color w:val="192530"/>
          <w:sz w:val="20"/>
        </w:rPr>
        <w:t>Long-lead equipment is released after accepted design information; field verification precedes demolition and fabrication.</w:t>
      </w:r>
    </w:p>
    <w:p>
      <w:pPr>
        <w:pStyle w:val="Heading1"/>
        <w:keepNext/>
      </w:pPr>
      <w:r>
        <w:t>Key personnel</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3000"/>
        <w:gridCol w:w="6360"/>
      </w:tblGrid>
      <w:tr>
        <w:trPr>
          <w:tblHeader w:val="true"/>
        </w:trPr>
        <w:tc>
          <w:tcPr>
            <w:tcW w:type="dxa" w:w="300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Individual</w:t>
            </w:r>
          </w:p>
        </w:tc>
        <w:tc>
          <w:tcPr>
            <w:tcW w:type="dxa" w:w="636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Role and qualifications</w:t>
            </w:r>
          </w:p>
        </w:tc>
      </w:tr>
      <w:tr>
        <w:tc>
          <w:tcPr>
            <w:tcW w:type="dxa" w:w="3000"/>
            <w:vAlign w:val="center"/>
            <w:tcMar>
              <w:top w:w="100" w:type="dxa"/>
              <w:bottom w:w="100" w:type="dxa"/>
              <w:start w:w="120" w:type="dxa"/>
              <w:end w:w="120" w:type="dxa"/>
            </w:tcMar>
          </w:tcPr>
          <w:p>
            <w:pPr>
              <w:spacing w:before="0" w:after="0" w:line="240" w:lineRule="auto"/>
            </w:pPr>
            <w:r>
              <w:rPr>
                <w:rFonts w:ascii="Calibri" w:hAnsi="Calibri"/>
                <w:b w:val="0"/>
                <w:color w:val="192530"/>
                <w:sz w:val="17"/>
              </w:rPr>
              <w:t>Dana Rourke, PE</w:t>
            </w:r>
          </w:p>
        </w:tc>
        <w:tc>
          <w:tcPr>
            <w:tcW w:type="dxa" w:w="6360"/>
            <w:vAlign w:val="center"/>
            <w:tcMar>
              <w:top w:w="100" w:type="dxa"/>
              <w:bottom w:w="100" w:type="dxa"/>
              <w:start w:w="120" w:type="dxa"/>
              <w:end w:w="120" w:type="dxa"/>
            </w:tcMar>
          </w:tcPr>
          <w:p>
            <w:pPr>
              <w:spacing w:before="0" w:after="0" w:line="240" w:lineRule="auto"/>
            </w:pPr>
            <w:r>
              <w:rPr>
                <w:rFonts w:ascii="Calibri" w:hAnsi="Calibri"/>
                <w:b w:val="0"/>
                <w:color w:val="192530"/>
                <w:sz w:val="17"/>
              </w:rPr>
              <w:t>Program Manager · 14 years remote vertical construction</w:t>
            </w:r>
          </w:p>
        </w:tc>
      </w:tr>
      <w:tr>
        <w:tc>
          <w:tcPr>
            <w:tcW w:type="dxa" w:w="3000"/>
            <w:vAlign w:val="center"/>
            <w:tcMar>
              <w:top w:w="100" w:type="dxa"/>
              <w:bottom w:w="100" w:type="dxa"/>
              <w:start w:w="120" w:type="dxa"/>
              <w:end w:w="120" w:type="dxa"/>
            </w:tcMar>
          </w:tcPr>
          <w:p>
            <w:pPr>
              <w:spacing w:before="0" w:after="0" w:line="240" w:lineRule="auto"/>
            </w:pPr>
            <w:r>
              <w:rPr>
                <w:rFonts w:ascii="Calibri" w:hAnsi="Calibri"/>
                <w:b w:val="0"/>
                <w:color w:val="192530"/>
                <w:sz w:val="17"/>
              </w:rPr>
              <w:t>Samuel Hideo, AIA</w:t>
            </w:r>
          </w:p>
        </w:tc>
        <w:tc>
          <w:tcPr>
            <w:tcW w:type="dxa" w:w="6360"/>
            <w:vAlign w:val="center"/>
            <w:tcMar>
              <w:top w:w="100" w:type="dxa"/>
              <w:bottom w:w="100" w:type="dxa"/>
              <w:start w:w="120" w:type="dxa"/>
              <w:end w:w="120" w:type="dxa"/>
            </w:tcMar>
          </w:tcPr>
          <w:p>
            <w:pPr>
              <w:spacing w:before="0" w:after="0" w:line="240" w:lineRule="auto"/>
            </w:pPr>
            <w:r>
              <w:rPr>
                <w:rFonts w:ascii="Calibri" w:hAnsi="Calibri"/>
                <w:b w:val="0"/>
                <w:color w:val="192530"/>
                <w:sz w:val="17"/>
              </w:rPr>
              <w:t>Design Manager · 11 secure operations facilities</w:t>
            </w:r>
          </w:p>
        </w:tc>
      </w:tr>
      <w:tr>
        <w:tc>
          <w:tcPr>
            <w:tcW w:type="dxa" w:w="3000"/>
            <w:vAlign w:val="center"/>
            <w:tcMar>
              <w:top w:w="100" w:type="dxa"/>
              <w:bottom w:w="100" w:type="dxa"/>
              <w:start w:w="120" w:type="dxa"/>
              <w:end w:w="120" w:type="dxa"/>
            </w:tcMar>
          </w:tcPr>
          <w:p>
            <w:pPr>
              <w:spacing w:before="0" w:after="0" w:line="240" w:lineRule="auto"/>
            </w:pPr>
            <w:r>
              <w:rPr>
                <w:rFonts w:ascii="Calibri" w:hAnsi="Calibri"/>
                <w:b w:val="0"/>
                <w:color w:val="192530"/>
                <w:sz w:val="17"/>
              </w:rPr>
              <w:t>Marcus Flint</w:t>
            </w:r>
          </w:p>
        </w:tc>
        <w:tc>
          <w:tcPr>
            <w:tcW w:type="dxa" w:w="6360"/>
            <w:vAlign w:val="center"/>
            <w:tcMar>
              <w:top w:w="100" w:type="dxa"/>
              <w:bottom w:w="100" w:type="dxa"/>
              <w:start w:w="120" w:type="dxa"/>
              <w:end w:w="120" w:type="dxa"/>
            </w:tcMar>
          </w:tcPr>
          <w:p>
            <w:pPr>
              <w:spacing w:before="0" w:after="0" w:line="240" w:lineRule="auto"/>
            </w:pPr>
            <w:r>
              <w:rPr>
                <w:rFonts w:ascii="Calibri" w:hAnsi="Calibri"/>
                <w:b w:val="0"/>
                <w:color w:val="192530"/>
                <w:sz w:val="17"/>
              </w:rPr>
              <w:t>Superintendent · 9 Alaska projects without lost-time injury</w:t>
            </w:r>
          </w:p>
        </w:tc>
      </w:tr>
    </w:tbl>
    <w:p>
      <w:pPr>
        <w:pStyle w:val="Heading1"/>
        <w:keepNext/>
      </w:pPr>
      <w:r>
        <w:t>Proposed schedule</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850"/>
        <w:gridCol w:w="2350"/>
        <w:gridCol w:w="4160"/>
      </w:tblGrid>
      <w:tr>
        <w:trPr>
          <w:tblHeader w:val="true"/>
        </w:trPr>
        <w:tc>
          <w:tcPr>
            <w:tcW w:type="dxa" w:w="28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Milestone</w:t>
            </w:r>
          </w:p>
        </w:tc>
        <w:tc>
          <w:tcPr>
            <w:tcW w:type="dxa" w:w="23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Date / period</w:t>
            </w:r>
          </w:p>
        </w:tc>
        <w:tc>
          <w:tcPr>
            <w:tcW w:type="dxa" w:w="416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Control</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Notice to proceed</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16 Aug 2027</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Baseline and field verification begin.</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35% design</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22 Sep 2027</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Confirm floor, site, systems, and long-lead basis.</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65% design</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20 Nov 2027</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Resolve coordination before broad construction release.</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95% design</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19 Jan 2028</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Complete systems and commissioning requirements.</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Final design</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16 Feb 2028</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Issue accepted construction package.</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Construction</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Oct 2027 – Aug 2028</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Envelope, interiors, systems, security, and sitework.</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Commission / train</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Aug – Sep 2028</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Testing, training, punch list, and closeout.</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Offeror turnover</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29 September 2028</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16 days before 15 Oct 2028.</w:t>
            </w:r>
          </w:p>
        </w:tc>
      </w:tr>
    </w:tbl>
    <w:p>
      <w:pPr>
        <w:keepNext/>
        <w:pageBreakBefore/>
        <w:spacing w:before="80" w:after="60"/>
        <w:jc w:val="center"/>
      </w:pPr>
      <w:r>
        <w:rPr>
          <w:rFonts w:ascii="Calibri" w:hAnsi="Calibri"/>
          <w:b/>
          <w:color w:val="192530"/>
          <w:sz w:val="32"/>
        </w:rPr>
        <w:t>PAST PERFORMANCE AND PRICE</w:t>
      </w:r>
    </w:p>
    <w:p>
      <w:pPr>
        <w:keepNext/>
        <w:spacing w:before="0" w:after="200"/>
        <w:jc w:val="center"/>
      </w:pPr>
      <w:r>
        <w:rPr>
          <w:rFonts w:ascii="Calibri" w:hAnsi="Calibri"/>
          <w:b/>
          <w:color w:val="606A74"/>
          <w:sz w:val="21"/>
        </w:rPr>
        <w:t>Quality, timeliness, cost control, and firm-fixed-price offer</w:t>
      </w:r>
    </w:p>
    <w:p>
      <w:pPr>
        <w:pStyle w:val="Heading1"/>
        <w:keepNext/>
      </w:pPr>
      <w:r>
        <w:t>Relevant record</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650"/>
        <w:gridCol w:w="1200"/>
        <w:gridCol w:w="1350"/>
        <w:gridCol w:w="1450"/>
        <w:gridCol w:w="2710"/>
      </w:tblGrid>
      <w:tr>
        <w:trPr>
          <w:tblHeader w:val="true"/>
        </w:trPr>
        <w:tc>
          <w:tcPr>
            <w:tcW w:type="dxa" w:w="26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5"/>
              </w:rPr>
              <w:t>Project</w:t>
            </w:r>
          </w:p>
        </w:tc>
        <w:tc>
          <w:tcPr>
            <w:tcW w:type="dxa" w:w="1200"/>
            <w:shd w:fill="E8EEF5"/>
            <w:vAlign w:val="center"/>
            <w:tcMar>
              <w:top w:w="100" w:type="dxa"/>
              <w:bottom w:w="100" w:type="dxa"/>
              <w:start w:w="120" w:type="dxa"/>
              <w:end w:w="120" w:type="dxa"/>
            </w:tcMar>
          </w:tcPr>
          <w:p>
            <w:pPr>
              <w:spacing w:before="0" w:after="0" w:line="240" w:lineRule="auto"/>
            </w:pPr>
            <w:r>
              <w:rPr>
                <w:rFonts w:ascii="Calibri" w:hAnsi="Calibri"/>
                <w:b/>
                <w:color w:val="192530"/>
                <w:sz w:val="15"/>
              </w:rPr>
              <w:t>Value</w:t>
            </w:r>
          </w:p>
        </w:tc>
        <w:tc>
          <w:tcPr>
            <w:tcW w:type="dxa" w:w="13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5"/>
              </w:rPr>
              <w:t>Quality</w:t>
            </w:r>
          </w:p>
        </w:tc>
        <w:tc>
          <w:tcPr>
            <w:tcW w:type="dxa" w:w="14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5"/>
              </w:rPr>
              <w:t>Timeliness</w:t>
            </w:r>
          </w:p>
        </w:tc>
        <w:tc>
          <w:tcPr>
            <w:tcW w:type="dxa" w:w="2710"/>
            <w:shd w:fill="E8EEF5"/>
            <w:vAlign w:val="center"/>
            <w:tcMar>
              <w:top w:w="100" w:type="dxa"/>
              <w:bottom w:w="100" w:type="dxa"/>
              <w:start w:w="120" w:type="dxa"/>
              <w:end w:w="120" w:type="dxa"/>
            </w:tcMar>
          </w:tcPr>
          <w:p>
            <w:pPr>
              <w:spacing w:before="0" w:after="0" w:line="240" w:lineRule="auto"/>
            </w:pPr>
            <w:r>
              <w:rPr>
                <w:rFonts w:ascii="Calibri" w:hAnsi="Calibri"/>
                <w:b/>
                <w:color w:val="192530"/>
                <w:sz w:val="15"/>
              </w:rPr>
              <w:t>Cost control</w:t>
            </w:r>
          </w:p>
        </w:tc>
      </w:tr>
      <w:tr>
        <w:tc>
          <w:tcPr>
            <w:tcW w:type="dxa" w:w="2650"/>
            <w:vAlign w:val="center"/>
            <w:tcMar>
              <w:top w:w="100" w:type="dxa"/>
              <w:bottom w:w="100" w:type="dxa"/>
              <w:start w:w="120" w:type="dxa"/>
              <w:end w:w="120" w:type="dxa"/>
            </w:tcMar>
          </w:tcPr>
          <w:p>
            <w:pPr>
              <w:spacing w:before="0" w:after="0" w:line="240" w:lineRule="auto"/>
            </w:pPr>
            <w:r>
              <w:rPr>
                <w:rFonts w:ascii="Calibri" w:hAnsi="Calibri"/>
                <w:b w:val="0"/>
                <w:color w:val="192530"/>
                <w:sz w:val="15"/>
              </w:rPr>
              <w:t>North Radar Support Facility</w:t>
            </w:r>
          </w:p>
        </w:tc>
        <w:tc>
          <w:tcPr>
            <w:tcW w:type="dxa" w:w="1200"/>
            <w:vAlign w:val="center"/>
            <w:tcMar>
              <w:top w:w="100" w:type="dxa"/>
              <w:bottom w:w="100" w:type="dxa"/>
              <w:start w:w="120" w:type="dxa"/>
              <w:end w:w="120" w:type="dxa"/>
            </w:tcMar>
          </w:tcPr>
          <w:p>
            <w:pPr>
              <w:spacing w:before="0" w:after="0" w:line="240" w:lineRule="auto"/>
            </w:pPr>
            <w:r>
              <w:rPr>
                <w:rFonts w:ascii="Calibri" w:hAnsi="Calibri"/>
                <w:b w:val="0"/>
                <w:color w:val="192530"/>
                <w:sz w:val="15"/>
              </w:rPr>
              <w:t>$7.40M</w:t>
            </w:r>
          </w:p>
        </w:tc>
        <w:tc>
          <w:tcPr>
            <w:tcW w:type="dxa" w:w="1350"/>
            <w:vAlign w:val="center"/>
            <w:tcMar>
              <w:top w:w="100" w:type="dxa"/>
              <w:bottom w:w="100" w:type="dxa"/>
              <w:start w:w="120" w:type="dxa"/>
              <w:end w:w="120" w:type="dxa"/>
            </w:tcMar>
          </w:tcPr>
          <w:p>
            <w:pPr>
              <w:spacing w:before="0" w:after="0" w:line="240" w:lineRule="auto"/>
            </w:pPr>
            <w:r>
              <w:rPr>
                <w:rFonts w:ascii="Calibri" w:hAnsi="Calibri"/>
                <w:b w:val="0"/>
                <w:color w:val="192530"/>
                <w:sz w:val="15"/>
              </w:rPr>
              <w:t>Very Good</w:t>
            </w:r>
          </w:p>
        </w:tc>
        <w:tc>
          <w:tcPr>
            <w:tcW w:type="dxa" w:w="1450"/>
            <w:vAlign w:val="center"/>
            <w:tcMar>
              <w:top w:w="100" w:type="dxa"/>
              <w:bottom w:w="100" w:type="dxa"/>
              <w:start w:w="120" w:type="dxa"/>
              <w:end w:w="120" w:type="dxa"/>
            </w:tcMar>
          </w:tcPr>
          <w:p>
            <w:pPr>
              <w:spacing w:before="0" w:after="0" w:line="240" w:lineRule="auto"/>
            </w:pPr>
            <w:r>
              <w:rPr>
                <w:rFonts w:ascii="Calibri" w:hAnsi="Calibri"/>
                <w:b w:val="0"/>
                <w:color w:val="192530"/>
                <w:sz w:val="15"/>
              </w:rPr>
              <w:t>12 days early</w:t>
            </w:r>
          </w:p>
        </w:tc>
        <w:tc>
          <w:tcPr>
            <w:tcW w:type="dxa" w:w="2710"/>
            <w:vAlign w:val="center"/>
            <w:tcMar>
              <w:top w:w="100" w:type="dxa"/>
              <w:bottom w:w="100" w:type="dxa"/>
              <w:start w:w="120" w:type="dxa"/>
              <w:end w:w="120" w:type="dxa"/>
            </w:tcMar>
          </w:tcPr>
          <w:p>
            <w:pPr>
              <w:spacing w:before="0" w:after="0" w:line="240" w:lineRule="auto"/>
            </w:pPr>
            <w:r>
              <w:rPr>
                <w:rFonts w:ascii="Calibri" w:hAnsi="Calibri"/>
                <w:b w:val="0"/>
                <w:color w:val="192530"/>
                <w:sz w:val="15"/>
              </w:rPr>
              <w:t>Good; 0.8% Government-change growth</w:t>
            </w:r>
          </w:p>
        </w:tc>
      </w:tr>
      <w:tr>
        <w:tc>
          <w:tcPr>
            <w:tcW w:type="dxa" w:w="2650"/>
            <w:vAlign w:val="center"/>
            <w:tcMar>
              <w:top w:w="100" w:type="dxa"/>
              <w:bottom w:w="100" w:type="dxa"/>
              <w:start w:w="120" w:type="dxa"/>
              <w:end w:w="120" w:type="dxa"/>
            </w:tcMar>
          </w:tcPr>
          <w:p>
            <w:pPr>
              <w:spacing w:before="0" w:after="0" w:line="240" w:lineRule="auto"/>
            </w:pPr>
            <w:r>
              <w:rPr>
                <w:rFonts w:ascii="Calibri" w:hAnsi="Calibri"/>
                <w:b w:val="0"/>
                <w:color w:val="192530"/>
                <w:sz w:val="15"/>
              </w:rPr>
              <w:t>Fort Raven Secure Operations Center</w:t>
            </w:r>
          </w:p>
        </w:tc>
        <w:tc>
          <w:tcPr>
            <w:tcW w:type="dxa" w:w="1200"/>
            <w:vAlign w:val="center"/>
            <w:tcMar>
              <w:top w:w="100" w:type="dxa"/>
              <w:bottom w:w="100" w:type="dxa"/>
              <w:start w:w="120" w:type="dxa"/>
              <w:end w:w="120" w:type="dxa"/>
            </w:tcMar>
          </w:tcPr>
          <w:p>
            <w:pPr>
              <w:spacing w:before="0" w:after="0" w:line="240" w:lineRule="auto"/>
            </w:pPr>
            <w:r>
              <w:rPr>
                <w:rFonts w:ascii="Calibri" w:hAnsi="Calibri"/>
                <w:b w:val="0"/>
                <w:color w:val="192530"/>
                <w:sz w:val="15"/>
              </w:rPr>
              <w:t>$9.20M</w:t>
            </w:r>
          </w:p>
        </w:tc>
        <w:tc>
          <w:tcPr>
            <w:tcW w:type="dxa" w:w="1350"/>
            <w:vAlign w:val="center"/>
            <w:tcMar>
              <w:top w:w="100" w:type="dxa"/>
              <w:bottom w:w="100" w:type="dxa"/>
              <w:start w:w="120" w:type="dxa"/>
              <w:end w:w="120" w:type="dxa"/>
            </w:tcMar>
          </w:tcPr>
          <w:p>
            <w:pPr>
              <w:spacing w:before="0" w:after="0" w:line="240" w:lineRule="auto"/>
            </w:pPr>
            <w:r>
              <w:rPr>
                <w:rFonts w:ascii="Calibri" w:hAnsi="Calibri"/>
                <w:b w:val="0"/>
                <w:color w:val="192530"/>
                <w:sz w:val="15"/>
              </w:rPr>
              <w:t>Exceptional</w:t>
            </w:r>
          </w:p>
        </w:tc>
        <w:tc>
          <w:tcPr>
            <w:tcW w:type="dxa" w:w="1450"/>
            <w:vAlign w:val="center"/>
            <w:tcMar>
              <w:top w:w="100" w:type="dxa"/>
              <w:bottom w:w="100" w:type="dxa"/>
              <w:start w:w="120" w:type="dxa"/>
              <w:end w:w="120" w:type="dxa"/>
            </w:tcMar>
          </w:tcPr>
          <w:p>
            <w:pPr>
              <w:spacing w:before="0" w:after="0" w:line="240" w:lineRule="auto"/>
            </w:pPr>
            <w:r>
              <w:rPr>
                <w:rFonts w:ascii="Calibri" w:hAnsi="Calibri"/>
                <w:b w:val="0"/>
                <w:color w:val="192530"/>
                <w:sz w:val="15"/>
              </w:rPr>
              <w:t>On time</w:t>
            </w:r>
          </w:p>
        </w:tc>
        <w:tc>
          <w:tcPr>
            <w:tcW w:type="dxa" w:w="2710"/>
            <w:vAlign w:val="center"/>
            <w:tcMar>
              <w:top w:w="100" w:type="dxa"/>
              <w:bottom w:w="100" w:type="dxa"/>
              <w:start w:w="120" w:type="dxa"/>
              <w:end w:w="120" w:type="dxa"/>
            </w:tcMar>
          </w:tcPr>
          <w:p>
            <w:pPr>
              <w:spacing w:before="0" w:after="0" w:line="240" w:lineRule="auto"/>
            </w:pPr>
            <w:r>
              <w:rPr>
                <w:rFonts w:ascii="Calibri" w:hAnsi="Calibri"/>
                <w:b w:val="0"/>
                <w:color w:val="192530"/>
                <w:sz w:val="15"/>
              </w:rPr>
              <w:t>Exceptional; absorbed coordination rework</w:t>
            </w:r>
          </w:p>
        </w:tc>
      </w:tr>
      <w:tr>
        <w:tc>
          <w:tcPr>
            <w:tcW w:type="dxa" w:w="2650"/>
            <w:vAlign w:val="center"/>
            <w:tcMar>
              <w:top w:w="100" w:type="dxa"/>
              <w:bottom w:w="100" w:type="dxa"/>
              <w:start w:w="120" w:type="dxa"/>
              <w:end w:w="120" w:type="dxa"/>
            </w:tcMar>
          </w:tcPr>
          <w:p>
            <w:pPr>
              <w:spacing w:before="0" w:after="0" w:line="240" w:lineRule="auto"/>
            </w:pPr>
            <w:r>
              <w:rPr>
                <w:rFonts w:ascii="Calibri" w:hAnsi="Calibri"/>
                <w:b w:val="0"/>
                <w:color w:val="192530"/>
                <w:sz w:val="15"/>
              </w:rPr>
              <w:t>SM-MACC-01 Generator Annex</w:t>
            </w:r>
          </w:p>
        </w:tc>
        <w:tc>
          <w:tcPr>
            <w:tcW w:type="dxa" w:w="1200"/>
            <w:vAlign w:val="center"/>
            <w:tcMar>
              <w:top w:w="100" w:type="dxa"/>
              <w:bottom w:w="100" w:type="dxa"/>
              <w:start w:w="120" w:type="dxa"/>
              <w:end w:w="120" w:type="dxa"/>
            </w:tcMar>
          </w:tcPr>
          <w:p>
            <w:pPr>
              <w:spacing w:before="0" w:after="0" w:line="240" w:lineRule="auto"/>
            </w:pPr>
            <w:r>
              <w:rPr>
                <w:rFonts w:ascii="Calibri" w:hAnsi="Calibri"/>
                <w:b w:val="0"/>
                <w:color w:val="192530"/>
                <w:sz w:val="15"/>
              </w:rPr>
              <w:t>$5.85M</w:t>
            </w:r>
          </w:p>
        </w:tc>
        <w:tc>
          <w:tcPr>
            <w:tcW w:type="dxa" w:w="1350"/>
            <w:vAlign w:val="center"/>
            <w:tcMar>
              <w:top w:w="100" w:type="dxa"/>
              <w:bottom w:w="100" w:type="dxa"/>
              <w:start w:w="120" w:type="dxa"/>
              <w:end w:w="120" w:type="dxa"/>
            </w:tcMar>
          </w:tcPr>
          <w:p>
            <w:pPr>
              <w:spacing w:before="0" w:after="0" w:line="240" w:lineRule="auto"/>
            </w:pPr>
            <w:r>
              <w:rPr>
                <w:rFonts w:ascii="Calibri" w:hAnsi="Calibri"/>
                <w:b w:val="0"/>
                <w:color w:val="192530"/>
                <w:sz w:val="15"/>
              </w:rPr>
              <w:t>Very Good</w:t>
            </w:r>
          </w:p>
        </w:tc>
        <w:tc>
          <w:tcPr>
            <w:tcW w:type="dxa" w:w="1450"/>
            <w:vAlign w:val="center"/>
            <w:tcMar>
              <w:top w:w="100" w:type="dxa"/>
              <w:bottom w:w="100" w:type="dxa"/>
              <w:start w:w="120" w:type="dxa"/>
              <w:end w:w="120" w:type="dxa"/>
            </w:tcMar>
          </w:tcPr>
          <w:p>
            <w:pPr>
              <w:spacing w:before="0" w:after="0" w:line="240" w:lineRule="auto"/>
            </w:pPr>
            <w:r>
              <w:rPr>
                <w:rFonts w:ascii="Calibri" w:hAnsi="Calibri"/>
                <w:b w:val="0"/>
                <w:color w:val="192530"/>
                <w:sz w:val="15"/>
              </w:rPr>
              <w:t>6 days early</w:t>
            </w:r>
          </w:p>
        </w:tc>
        <w:tc>
          <w:tcPr>
            <w:tcW w:type="dxa" w:w="2710"/>
            <w:vAlign w:val="center"/>
            <w:tcMar>
              <w:top w:w="100" w:type="dxa"/>
              <w:bottom w:w="100" w:type="dxa"/>
              <w:start w:w="120" w:type="dxa"/>
              <w:end w:w="120" w:type="dxa"/>
            </w:tcMar>
          </w:tcPr>
          <w:p>
            <w:pPr>
              <w:spacing w:before="0" w:after="0" w:line="240" w:lineRule="auto"/>
            </w:pPr>
            <w:r>
              <w:rPr>
                <w:rFonts w:ascii="Calibri" w:hAnsi="Calibri"/>
                <w:b w:val="0"/>
                <w:color w:val="192530"/>
                <w:sz w:val="15"/>
              </w:rPr>
              <w:t>Very Good; 0.4% growth</w:t>
            </w:r>
          </w:p>
        </w:tc>
      </w:tr>
    </w:tbl>
    <w:p>
      <w:pPr>
        <w:keepLines/>
        <w:spacing w:before="0" w:after="160" w:line="264" w:lineRule="auto"/>
        <w:ind w:left="0"/>
      </w:pPr>
      <w:r>
        <w:rPr>
          <w:rFonts w:ascii="Calibri" w:hAnsi="Calibri"/>
          <w:color w:val="192530"/>
          <w:sz w:val="22"/>
        </w:rPr>
        <w:t>The Government may verify the records above and consider relevance, context, and trend. All project names and performance records in this exercise proposal are fictional.</w:t>
      </w:r>
    </w:p>
    <w:p>
      <w:pPr>
        <w:pStyle w:val="Heading1"/>
        <w:keepNext/>
      </w:pPr>
      <w:r>
        <w:t>Firm-fixed-price breakout</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700"/>
        <w:gridCol w:w="6260"/>
        <w:gridCol w:w="2400"/>
      </w:tblGrid>
      <w:tr>
        <w:trPr>
          <w:tblHeader w:val="true"/>
        </w:trPr>
        <w:tc>
          <w:tcPr>
            <w:tcW w:type="dxa" w:w="70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Item</w:t>
            </w:r>
          </w:p>
        </w:tc>
        <w:tc>
          <w:tcPr>
            <w:tcW w:type="dxa" w:w="626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Price element</w:t>
            </w:r>
          </w:p>
        </w:tc>
        <w:tc>
          <w:tcPr>
            <w:tcW w:type="dxa" w:w="240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Amount</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1</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Design, surveys, management, bonds, and controls</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$905,000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2</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Roof and exterior envelope</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$1,465,000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3</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Interior renewal and mission spaces</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$1,766,000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4</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Electrical, emergency power, and communications pathways</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$1,465,000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5</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HVAC, plumbing, fire protection, and life safety</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$905,000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6</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Site security, boulders, entries, drainage, and restoration</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$862,000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7</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Commissioning, training, closeout, and remote logistics</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$646,000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8</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Offeror contingency and price balance</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$601,000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TOTAL FIRM-FIXED PRICE</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$8,615,000</w:t>
            </w:r>
          </w:p>
        </w:tc>
      </w:tr>
    </w:tbl>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EAF3EE"/>
            <w:vAlign w:val="center"/>
            <w:tcMar>
              <w:top w:w="100" w:type="dxa"/>
              <w:bottom w:w="100" w:type="dxa"/>
              <w:start w:w="120" w:type="dxa"/>
              <w:end w:w="120" w:type="dxa"/>
            </w:tcMar>
          </w:tcPr>
          <w:p>
            <w:pPr>
              <w:spacing w:after="0" w:line="252" w:lineRule="auto"/>
            </w:pPr>
            <w:r>
              <w:rPr>
                <w:rFonts w:ascii="Calibri" w:hAnsi="Calibri"/>
                <w:b/>
                <w:color w:val="8E4F47"/>
                <w:sz w:val="18"/>
              </w:rPr>
              <w:t xml:space="preserve">OFFER. </w:t>
            </w:r>
            <w:r>
              <w:rPr>
                <w:rFonts w:ascii="Calibri" w:hAnsi="Calibri"/>
                <w:color w:val="192530"/>
                <w:sz w:val="18"/>
              </w:rPr>
              <w:t>Diamond Dogs Civil Works, LLC offers the complete requirement for $8,615,000, firm fixed price, subject to SM-MACC-01 and CP-27-008.</w:t>
            </w:r>
          </w:p>
        </w:tc>
      </w:tr>
    </w:tbl>
    <w:p>
      <w:pPr>
        <w:keepLines/>
        <w:spacing w:before="0" w:after="60" w:line="252" w:lineRule="auto"/>
      </w:pPr>
      <w:r>
        <w:rPr>
          <w:rFonts w:ascii="Calibri" w:hAnsi="Calibri"/>
          <w:b/>
          <w:color w:val="192530"/>
          <w:sz w:val="22"/>
        </w:rPr>
        <w:t xml:space="preserve">AUTHORIZED OFFEROR: </w:t>
      </w:r>
      <w:r>
        <w:rPr>
          <w:rFonts w:ascii="Calibri" w:hAnsi="Calibri"/>
          <w:color w:val="192530"/>
          <w:sz w:val="22"/>
        </w:rPr>
        <w:t>/s/ Dana Rourke, PE, for Diamond Dogs Civil Works, LLC</w:t>
      </w:r>
    </w:p>
    <w:p>
      <w:pPr>
        <w:keepLines/>
        <w:spacing w:before="0" w:after="0" w:line="252" w:lineRule="auto"/>
      </w:pPr>
      <w:r>
        <w:rPr>
          <w:rFonts w:ascii="Calibri" w:hAnsi="Calibri"/>
          <w:b/>
          <w:color w:val="192530"/>
          <w:sz w:val="22"/>
        </w:rPr>
        <w:t xml:space="preserve">DATE: </w:t>
      </w:r>
      <w:r>
        <w:rPr>
          <w:rFonts w:ascii="Calibri" w:hAnsi="Calibri"/>
          <w:color w:val="192530"/>
          <w:sz w:val="22"/>
        </w:rPr>
        <w:t>21 July 2027</w:t>
      </w:r>
    </w:p>
    <w:sectPr w:rsidR="00FC693F" w:rsidRPr="0006063C" w:rsidSect="00034616">
      <w:headerReference w:type="default" r:id="rId9"/>
      <w:footerReference w:type="default" r:id="rId10"/>
      <w:pgSz w:w="12240" w:h="15840"/>
      <w:pgMar w:top="1123" w:right="1440" w:bottom="1037" w:left="144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G-03  |  DIAMOND DOGS DESIGN-BUILD PROPOSAL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25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G-03 Command Post Design-Build Proposal</dc:title>
  <dc:subject>Concept design and best-value proposal from Diamond Dogs Civil Works, LLC</dc:subject>
  <dc:creator>Diamond Dogs Civil Works, LLC</dc:creator>
  <cp:keywords>training, construction contracting, design-build, MACC, Shadow Moses</cp:keywords>
  <dc:description>Training use only. All names, dates, amounts, requirements, records, and signatures are fictional.</dc:description>
  <cp:lastModifiedBy/>
  <cp:revision>1</cp:revision>
  <dcterms:created xsi:type="dcterms:W3CDTF">2013-12-23T23:15:00Z</dcterms:created>
  <dcterms:modified xsi:type="dcterms:W3CDTF">2013-12-23T23:15:00Z</dcterms:modified>
  <cp:category/>
</cp:coreProperties>
</file>