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COMMAND POST DESIGN-BUILD PROPOSAL</w:t>
      </w:r>
    </w:p>
    <w:p>
      <w:pPr>
        <w:keepNext/>
        <w:spacing w:before="0" w:after="200"/>
        <w:jc w:val="center"/>
      </w:pPr>
      <w:r>
        <w:rPr>
          <w:rFonts w:ascii="Calibri" w:hAnsi="Calibri"/>
          <w:b/>
          <w:color w:val="606A74"/>
          <w:sz w:val="21"/>
        </w:rPr>
        <w:t>Militaires Sans Frontières Construction JV | CP-27-008 | Submitted 21 July 2027</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OFFEROR STATEMENT. </w:t>
            </w:r>
            <w:r>
              <w:rPr>
                <w:rFonts w:ascii="Calibri" w:hAnsi="Calibri"/>
                <w:color w:val="192530"/>
                <w:sz w:val="18"/>
              </w:rPr>
              <w:t>Balanced cold-region performance with an accelerated exterior-work sequence</w:t>
            </w:r>
          </w:p>
        </w:tc>
      </w:tr>
    </w:tbl>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Firm-fixed price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$8,340,000</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Calendar duration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402 days from notice to proceed</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Proposed turnover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21 September 2028 · 24 days before required date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Proposal validity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120 calendar days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Design responsibility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Complete post-award design and construction by the design-builder</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Boulder stand-off</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North 68 ft · East 78 ft · South 64 ft · West 40 ft from the corresponding exterior wall</w:t>
            </w:r>
          </w:p>
        </w:tc>
      </w:tr>
    </w:tbl>
    <w:p>
      <w:pPr>
        <w:pStyle w:val="Heading1"/>
        <w:keepNext/>
      </w:pPr>
      <w:r>
        <w:t>Executive approach</w:t>
      </w:r>
    </w:p>
    <w:p>
      <w:pPr>
        <w:keepLines/>
        <w:spacing w:before="0" w:after="120" w:line="264" w:lineRule="auto"/>
        <w:ind w:left="0"/>
      </w:pPr>
      <w:r>
        <w:rPr>
          <w:rFonts w:ascii="Calibri" w:hAnsi="Calibri"/>
          <w:color w:val="192530"/>
          <w:sz w:val="22"/>
        </w:rPr>
        <w:t>Militaires Sans Frontières Construction JV offers one integrated design-build team for Building 100. The concept addresses 24/7 operations, secure communications, cold-region envelope performance, resilient utilities, controlled access, and fixed site-security barriers while retaining the existing footprint. Its boulder perimeter is 68 feet north, 78 feet east, 64 feet south, and 40 feet west of the corresponding exterior walls.</w:t>
      </w:r>
    </w:p>
    <w:p>
      <w:pPr>
        <w:pStyle w:val="Heading1"/>
        <w:keepNext/>
      </w:pPr>
      <w:r>
        <w:t>Response to stated evaluation factors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450"/>
        <w:gridCol w:w="6910"/>
      </w:tblGrid>
      <w:tr>
        <w:trPr>
          <w:tblHeader w:val="true"/>
        </w:trPr>
        <w:tc>
          <w:tcPr>
            <w:tcW w:type="dxa" w:w="2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Factor</w:t>
            </w:r>
          </w:p>
        </w:tc>
        <w:tc>
          <w:tcPr>
            <w:tcW w:type="dxa" w:w="69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Offeror response</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Technical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Operations floor in the east half; command and briefing spaces in the west wing; public entry west; service entry south. Two 60-percent air handlers and two condensing boilers provide partial equipment redundancy. A sectionalized switchboard, 120 kVA UPS, and one 500 kW generator support priority loads.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Management approach</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One accountable manager; integrated submittal register; weekly discipline coordination; quality-control and safety gates.</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Schedule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Very Good. 402 days; turnover 21 September 2028; 24 days of stated contingency.</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Key personnel</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Dedicated program manager, design manager, and superintendent identified below.</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Past performance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Three comparable records supplied with quality, timeliness, and cost-control context.</w:t>
            </w:r>
          </w:p>
        </w:tc>
      </w:tr>
      <w:tr>
        <w:tc>
          <w:tcPr>
            <w:tcW w:type="dxa" w:w="2450"/>
            <w:vAlign w:val="center"/>
            <w:tcMar>
              <w:top w:w="100" w:type="dxa"/>
              <w:bottom w:w="100" w:type="dxa"/>
              <w:start w:w="120" w:type="dxa"/>
              <w:end w:w="120" w:type="dxa"/>
            </w:tcMar>
          </w:tcPr>
          <w:p>
            <w:pPr>
              <w:spacing w:before="0" w:after="0" w:line="240" w:lineRule="auto"/>
            </w:pPr>
            <w:r>
              <w:rPr>
                <w:rFonts w:ascii="Calibri" w:hAnsi="Calibri"/>
                <w:b w:val="0"/>
                <w:color w:val="192530"/>
                <w:sz w:val="16"/>
              </w:rPr>
              <w:t>Price</w:t>
            </w:r>
          </w:p>
        </w:tc>
        <w:tc>
          <w:tcPr>
            <w:tcW w:type="dxa" w:w="6910"/>
            <w:vAlign w:val="center"/>
            <w:tcMar>
              <w:top w:w="100" w:type="dxa"/>
              <w:bottom w:w="100" w:type="dxa"/>
              <w:start w:w="120" w:type="dxa"/>
              <w:end w:w="120" w:type="dxa"/>
            </w:tcMar>
          </w:tcPr>
          <w:p>
            <w:pPr>
              <w:spacing w:before="0" w:after="0" w:line="240" w:lineRule="auto"/>
            </w:pPr>
            <w:r>
              <w:rPr>
                <w:rFonts w:ascii="Calibri" w:hAnsi="Calibri"/>
                <w:b w:val="0"/>
                <w:color w:val="192530"/>
                <w:sz w:val="16"/>
              </w:rPr>
              <w:t>Firm-fixed price of $8,340,000 for complete design, construction, commissioning, training, and closeout.</w:t>
            </w:r>
          </w:p>
        </w:tc>
      </w:tr>
    </w:tbl>
    <w:p>
      <w:pPr>
        <w:pStyle w:val="Heading1"/>
        <w:keepNext/>
      </w:pPr>
      <w:r>
        <w:t>Principal strengths</w:t>
      </w:r>
    </w:p>
    <w:p>
      <w:pPr>
        <w:pStyle w:val="ListBullet"/>
        <w:keepLines/>
        <w:spacing w:after="80" w:line="252" w:lineRule="auto"/>
      </w:pPr>
      <w:r>
        <w:rPr>
          <w:rFonts w:ascii="Calibri" w:hAnsi="Calibri"/>
          <w:color w:val="192530"/>
          <w:sz w:val="18"/>
        </w:rPr>
        <w:t>Strong envelope approach and credible remote logistics plan.</w:t>
      </w:r>
    </w:p>
    <w:p>
      <w:pPr>
        <w:pStyle w:val="ListBullet"/>
        <w:keepLines/>
        <w:spacing w:after="80" w:line="252" w:lineRule="auto"/>
      </w:pPr>
      <w:r>
        <w:rPr>
          <w:rFonts w:ascii="Calibri" w:hAnsi="Calibri"/>
          <w:color w:val="192530"/>
          <w:sz w:val="18"/>
        </w:rPr>
        <w:t>Price is $275,000 below the highest-priced offer.</w:t>
      </w:r>
    </w:p>
    <w:p>
      <w:pPr>
        <w:pStyle w:val="ListBullet"/>
        <w:keepLines/>
        <w:spacing w:after="80" w:line="252" w:lineRule="auto"/>
      </w:pPr>
      <w:r>
        <w:rPr>
          <w:rFonts w:ascii="Calibri" w:hAnsi="Calibri"/>
          <w:color w:val="192530"/>
          <w:sz w:val="18"/>
        </w:rPr>
        <w:t>Schedule retains 24 days before required turnover.</w:t>
      </w:r>
    </w:p>
    <w:p>
      <w:pPr>
        <w:keepNext/>
        <w:pageBreakBefore/>
        <w:spacing w:before="80" w:after="60"/>
        <w:jc w:val="center"/>
      </w:pPr>
      <w:r>
        <w:rPr>
          <w:rFonts w:ascii="Calibri" w:hAnsi="Calibri"/>
          <w:b/>
          <w:color w:val="192530"/>
          <w:sz w:val="32"/>
        </w:rPr>
        <w:t>CONCEPT DESIGN</w:t>
      </w:r>
    </w:p>
    <w:p>
      <w:pPr>
        <w:keepNext/>
        <w:spacing w:before="0" w:after="200"/>
        <w:jc w:val="center"/>
      </w:pPr>
      <w:r>
        <w:rPr>
          <w:rFonts w:ascii="Calibri" w:hAnsi="Calibri"/>
          <w:b/>
          <w:color w:val="606A74"/>
          <w:sz w:val="21"/>
        </w:rPr>
        <w:t>Offeror-developed floor, systems, and security layout · not construction documents</w:t>
      </w:r>
    </w:p>
    <w:p>
      <w:pPr>
        <w:jc w:val="center"/>
      </w:pPr>
      <w:r>
        <w:drawing>
          <wp:inline xmlns:a="http://schemas.openxmlformats.org/drawingml/2006/main" xmlns:pic="http://schemas.openxmlformats.org/drawingml/2006/picture">
            <wp:extent cx="5852160" cy="6966857"/>
            <wp:docPr id="1" name="Picture 1" title="Militaires Sans Frontières Construction JV Command Post concept" descr="Concept sheet drawn to a common graphic scale showing a 150-foot east-west by 120-foot north-south Building 100 footprint, Militaires Sans Frontières Construction JV's floor arrangement, system routes, materials, entrances, and fixed boulder perimeter. Dimension labels state the proposed north, east, south, and west offsets from the corresponding exterior walls; the west offset is 40 feet."/>
            <wp:cNvGraphicFramePr>
              <a:graphicFrameLocks noChangeAspect="1"/>
            </wp:cNvGraphicFramePr>
            <a:graphic>
              <a:graphicData uri="http://schemas.openxmlformats.org/drawingml/2006/picture">
                <pic:pic>
                  <pic:nvPicPr>
                    <pic:cNvPr id="0" name="G-04_Msf_Construction_Jv_Command_Post_Concept.png"/>
                    <pic:cNvPicPr/>
                  </pic:nvPicPr>
                  <pic:blipFill>
                    <a:blip r:embed="rId11"/>
                    <a:stretch>
                      <a:fillRect/>
                    </a:stretch>
                  </pic:blipFill>
                  <pic:spPr>
                    <a:xfrm>
                      <a:off x="0" y="0"/>
                      <a:ext cx="5852160" cy="6966857"/>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after="0" w:line="252" w:lineRule="auto"/>
            </w:pPr>
            <w:r>
              <w:rPr>
                <w:rFonts w:ascii="Calibri" w:hAnsi="Calibri"/>
                <w:b/>
                <w:color w:val="8E4F47"/>
                <w:sz w:val="18"/>
              </w:rPr>
              <w:t xml:space="preserve">DESIGN STATUS. </w:t>
            </w:r>
            <w:r>
              <w:rPr>
                <w:rFonts w:ascii="Calibri" w:hAnsi="Calibri"/>
                <w:color w:val="192530"/>
                <w:sz w:val="18"/>
              </w:rPr>
              <w:t>This is a concept-level submission. Final dimensions, calculations, grading, utilities, foundations, anchorage, and construction details will be developed after award through the required design reviews.</w:t>
            </w:r>
          </w:p>
        </w:tc>
      </w:tr>
    </w:tbl>
    <w:p>
      <w:pPr>
        <w:keepNext/>
        <w:pageBreakBefore/>
        <w:spacing w:before="80" w:after="60"/>
        <w:jc w:val="center"/>
      </w:pPr>
      <w:r>
        <w:rPr>
          <w:rFonts w:ascii="Calibri" w:hAnsi="Calibri"/>
          <w:b/>
          <w:color w:val="192530"/>
          <w:sz w:val="32"/>
        </w:rPr>
        <w:t>MANAGEMENT AND SCHEDULE</w:t>
      </w:r>
    </w:p>
    <w:p>
      <w:pPr>
        <w:keepNext/>
        <w:spacing w:before="0" w:after="200"/>
        <w:jc w:val="center"/>
      </w:pPr>
      <w:r>
        <w:rPr>
          <w:rFonts w:ascii="Calibri" w:hAnsi="Calibri"/>
          <w:b/>
          <w:color w:val="606A74"/>
          <w:sz w:val="21"/>
        </w:rPr>
        <w:t>Design-construction integration and proposed control plan</w:t>
      </w:r>
    </w:p>
    <w:p>
      <w:pPr>
        <w:pStyle w:val="Heading1"/>
        <w:keepNext/>
      </w:pPr>
      <w:r>
        <w:t>Management approach</w:t>
      </w:r>
    </w:p>
    <w:p>
      <w:pPr>
        <w:pStyle w:val="ListBullet"/>
        <w:keepLines/>
        <w:spacing w:after="80" w:line="252" w:lineRule="auto"/>
      </w:pPr>
      <w:r>
        <w:rPr>
          <w:rFonts w:ascii="Calibri" w:hAnsi="Calibri"/>
          <w:color w:val="192530"/>
          <w:sz w:val="20"/>
        </w:rPr>
        <w:t>One program manager controls price, schedule, design, construction, subcontracts, and Government correspondence.</w:t>
      </w:r>
    </w:p>
    <w:p>
      <w:pPr>
        <w:pStyle w:val="ListBullet"/>
        <w:keepLines/>
        <w:spacing w:after="80" w:line="252" w:lineRule="auto"/>
      </w:pPr>
      <w:r>
        <w:rPr>
          <w:rFonts w:ascii="Calibri" w:hAnsi="Calibri"/>
          <w:color w:val="192530"/>
          <w:sz w:val="20"/>
        </w:rPr>
        <w:t>A common design model, submittal register, and weekly meeting link architectural, structural, civil, mechanical, electrical, communications, security, fire, and commissioning disciplines.</w:t>
      </w:r>
    </w:p>
    <w:p>
      <w:pPr>
        <w:pStyle w:val="ListBullet"/>
        <w:keepLines/>
        <w:spacing w:after="80" w:line="252" w:lineRule="auto"/>
      </w:pPr>
      <w:r>
        <w:rPr>
          <w:rFonts w:ascii="Calibri" w:hAnsi="Calibri"/>
          <w:color w:val="192530"/>
          <w:sz w:val="20"/>
        </w:rPr>
        <w:t>Preparatory, initial, and follow-up quality-control phases precede each definable feature; safety planning and activity-hazard analysis are integrated into release decisions.</w:t>
      </w:r>
    </w:p>
    <w:p>
      <w:pPr>
        <w:pStyle w:val="ListBullet"/>
        <w:keepLines/>
        <w:spacing w:after="80" w:line="252" w:lineRule="auto"/>
      </w:pPr>
      <w:r>
        <w:rPr>
          <w:rFonts w:ascii="Calibri" w:hAnsi="Calibri"/>
          <w:color w:val="192530"/>
          <w:sz w:val="20"/>
        </w:rPr>
        <w:t>Long-lead equipment is released after accepted design information; field verification precedes demolition and fabrication.</w:t>
      </w:r>
    </w:p>
    <w:p>
      <w:pPr>
        <w:pStyle w:val="Heading1"/>
        <w:keepNext/>
      </w:pPr>
      <w:r>
        <w:t>Key personnel</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3000"/>
        <w:gridCol w:w="6360"/>
      </w:tblGrid>
      <w:tr>
        <w:trPr>
          <w:tblHeader w:val="true"/>
        </w:trPr>
        <w:tc>
          <w:tcPr>
            <w:tcW w:type="dxa" w:w="30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Individual</w:t>
            </w:r>
          </w:p>
        </w:tc>
        <w:tc>
          <w:tcPr>
            <w:tcW w:type="dxa" w:w="63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Role and qualifications</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Ana Valencia, CCM</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Program Manager · 12 years occupied-facility renewal</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Leonid Voronin, PE</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Design Manager · cold-region envelope and mechanical specialist</w:t>
            </w:r>
          </w:p>
        </w:tc>
      </w:tr>
      <w:tr>
        <w:tc>
          <w:tcPr>
            <w:tcW w:type="dxa" w:w="3000"/>
            <w:vAlign w:val="center"/>
            <w:tcMar>
              <w:top w:w="100" w:type="dxa"/>
              <w:bottom w:w="100" w:type="dxa"/>
              <w:start w:w="120" w:type="dxa"/>
              <w:end w:w="120" w:type="dxa"/>
            </w:tcMar>
          </w:tcPr>
          <w:p>
            <w:pPr>
              <w:spacing w:before="0" w:after="0" w:line="240" w:lineRule="auto"/>
            </w:pPr>
            <w:r>
              <w:rPr>
                <w:rFonts w:ascii="Calibri" w:hAnsi="Calibri"/>
                <w:b w:val="0"/>
                <w:color w:val="192530"/>
                <w:sz w:val="17"/>
              </w:rPr>
              <w:t>Keith Webb</w:t>
            </w:r>
          </w:p>
        </w:tc>
        <w:tc>
          <w:tcPr>
            <w:tcW w:type="dxa" w:w="63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Superintendent · 8 years remote Alaska construction</w:t>
            </w:r>
          </w:p>
        </w:tc>
      </w:tr>
    </w:tbl>
    <w:p>
      <w:pPr>
        <w:pStyle w:val="Heading1"/>
        <w:keepNext/>
      </w:pPr>
      <w:r>
        <w:t>Proposed schedule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850"/>
        <w:gridCol w:w="2350"/>
        <w:gridCol w:w="4160"/>
      </w:tblGrid>
      <w:tr>
        <w:trPr>
          <w:tblHeader w:val="true"/>
        </w:trPr>
        <w:tc>
          <w:tcPr>
            <w:tcW w:type="dxa" w:w="28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Milestone</w:t>
            </w:r>
          </w:p>
        </w:tc>
        <w:tc>
          <w:tcPr>
            <w:tcW w:type="dxa" w:w="2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Date / period</w:t>
            </w:r>
          </w:p>
        </w:tc>
        <w:tc>
          <w:tcPr>
            <w:tcW w:type="dxa" w:w="41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Control</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Notice to proceed</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Aug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Baseline and field verification begin.</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35%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22 Sep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Confirm floor, site, systems, and long-lead basis.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65%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20 Nov 2027</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Resolve coordination before broad construction release.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95%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19 Jan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Complete systems and commissioning requirements.</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Final design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16 Feb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Issue accepted construction package.</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Construction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Oct 2027 – Aug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Envelope, interiors, systems, security, and sitework.</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 / train</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Aug – Sep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Testing, training, punch list, and closeout.</w:t>
            </w:r>
          </w:p>
        </w:tc>
      </w:tr>
      <w:tr>
        <w:tc>
          <w:tcPr>
            <w:tcW w:type="dxa" w:w="285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turnover</w:t>
            </w:r>
          </w:p>
        </w:tc>
        <w:tc>
          <w:tcPr>
            <w:tcW w:type="dxa" w:w="2350"/>
            <w:vAlign w:val="center"/>
            <w:tcMar>
              <w:top w:w="100" w:type="dxa"/>
              <w:bottom w:w="100" w:type="dxa"/>
              <w:start w:w="120" w:type="dxa"/>
              <w:end w:w="120" w:type="dxa"/>
            </w:tcMar>
          </w:tcPr>
          <w:p>
            <w:pPr>
              <w:spacing w:before="0" w:after="0" w:line="240" w:lineRule="auto"/>
            </w:pPr>
            <w:r>
              <w:rPr>
                <w:rFonts w:ascii="Calibri" w:hAnsi="Calibri"/>
                <w:b w:val="0"/>
                <w:color w:val="192530"/>
                <w:sz w:val="16"/>
              </w:rPr>
              <w:t>21 September 2028</w:t>
            </w:r>
          </w:p>
        </w:tc>
        <w:tc>
          <w:tcPr>
            <w:tcW w:type="dxa" w:w="4160"/>
            <w:vAlign w:val="center"/>
            <w:tcMar>
              <w:top w:w="100" w:type="dxa"/>
              <w:bottom w:w="100" w:type="dxa"/>
              <w:start w:w="120" w:type="dxa"/>
              <w:end w:w="120" w:type="dxa"/>
            </w:tcMar>
          </w:tcPr>
          <w:p>
            <w:pPr>
              <w:spacing w:before="0" w:after="0" w:line="240" w:lineRule="auto"/>
            </w:pPr>
            <w:r>
              <w:rPr>
                <w:rFonts w:ascii="Calibri" w:hAnsi="Calibri"/>
                <w:b w:val="0"/>
                <w:color w:val="192530"/>
                <w:sz w:val="16"/>
              </w:rPr>
              <w:t>24 days before 15 Oct 2028.</w:t>
            </w:r>
          </w:p>
        </w:tc>
      </w:tr>
    </w:tbl>
    <w:p>
      <w:pPr>
        <w:keepNext/>
        <w:pageBreakBefore/>
        <w:spacing w:before="80" w:after="60"/>
        <w:jc w:val="center"/>
      </w:pPr>
      <w:r>
        <w:rPr>
          <w:rFonts w:ascii="Calibri" w:hAnsi="Calibri"/>
          <w:b/>
          <w:color w:val="192530"/>
          <w:sz w:val="32"/>
        </w:rPr>
        <w:t>PAST PERFORMANCE AND PRICE</w:t>
      </w:r>
    </w:p>
    <w:p>
      <w:pPr>
        <w:keepNext/>
        <w:spacing w:before="0" w:after="200"/>
        <w:jc w:val="center"/>
      </w:pPr>
      <w:r>
        <w:rPr>
          <w:rFonts w:ascii="Calibri" w:hAnsi="Calibri"/>
          <w:b/>
          <w:color w:val="606A74"/>
          <w:sz w:val="21"/>
        </w:rPr>
        <w:t>Quality, timeliness, cost control, and firm-fixed-price offer</w:t>
      </w:r>
    </w:p>
    <w:p>
      <w:pPr>
        <w:pStyle w:val="Heading1"/>
        <w:keepNext/>
      </w:pPr>
      <w:r>
        <w:t>Relevant record</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650"/>
        <w:gridCol w:w="1200"/>
        <w:gridCol w:w="1350"/>
        <w:gridCol w:w="1450"/>
        <w:gridCol w:w="2710"/>
      </w:tblGrid>
      <w:tr>
        <w:trPr>
          <w:tblHeader w:val="true"/>
        </w:trPr>
        <w:tc>
          <w:tcPr>
            <w:tcW w:type="dxa" w:w="26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Project</w:t>
            </w:r>
          </w:p>
        </w:tc>
        <w:tc>
          <w:tcPr>
            <w:tcW w:type="dxa" w:w="12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Value</w:t>
            </w:r>
          </w:p>
        </w:tc>
        <w:tc>
          <w:tcPr>
            <w:tcW w:type="dxa" w:w="13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Quality</w:t>
            </w:r>
          </w:p>
        </w:tc>
        <w:tc>
          <w:tcPr>
            <w:tcW w:type="dxa" w:w="1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Timeliness</w:t>
            </w:r>
          </w:p>
        </w:tc>
        <w:tc>
          <w:tcPr>
            <w:tcW w:type="dxa" w:w="27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Cost control</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Arctic Port Administration Renewal</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$8.05M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18 days late</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Good; weather recovery limited delay</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SM-MACC-01 Medical Support Wing</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$6.92M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On time</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Satisfactory; absorbed 2.8% rework</w:t>
            </w:r>
          </w:p>
        </w:tc>
      </w:tr>
      <w:tr>
        <w:tc>
          <w:tcPr>
            <w:tcW w:type="dxa" w:w="2650"/>
            <w:vAlign w:val="center"/>
            <w:tcMar>
              <w:top w:w="100" w:type="dxa"/>
              <w:bottom w:w="100" w:type="dxa"/>
              <w:start w:w="120" w:type="dxa"/>
              <w:end w:w="120" w:type="dxa"/>
            </w:tcMar>
          </w:tcPr>
          <w:p>
            <w:pPr>
              <w:spacing w:before="0" w:after="0" w:line="240" w:lineRule="auto"/>
            </w:pPr>
            <w:r>
              <w:rPr>
                <w:rFonts w:ascii="Calibri" w:hAnsi="Calibri"/>
                <w:b w:val="0"/>
                <w:color w:val="192530"/>
                <w:sz w:val="15"/>
              </w:rPr>
              <w:t>Tundra Watch Center Envelope</w:t>
            </w:r>
          </w:p>
        </w:tc>
        <w:tc>
          <w:tcPr>
            <w:tcW w:type="dxa" w:w="1200"/>
            <w:vAlign w:val="center"/>
            <w:tcMar>
              <w:top w:w="100" w:type="dxa"/>
              <w:bottom w:w="100" w:type="dxa"/>
              <w:start w:w="120" w:type="dxa"/>
              <w:end w:w="120" w:type="dxa"/>
            </w:tcMar>
          </w:tcPr>
          <w:p>
            <w:pPr>
              <w:spacing w:before="0" w:after="0" w:line="240" w:lineRule="auto"/>
            </w:pPr>
            <w:r>
              <w:rPr>
                <w:rFonts w:ascii="Calibri" w:hAnsi="Calibri"/>
                <w:b w:val="0"/>
                <w:color w:val="192530"/>
                <w:sz w:val="15"/>
              </w:rPr>
              <w:t>$4.30M</w:t>
            </w:r>
          </w:p>
        </w:tc>
        <w:tc>
          <w:tcPr>
            <w:tcW w:type="dxa" w:w="135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5"/>
              </w:rPr>
              <w:t>9 days early</w:t>
            </w:r>
          </w:p>
        </w:tc>
        <w:tc>
          <w:tcPr>
            <w:tcW w:type="dxa" w:w="2710"/>
            <w:vAlign w:val="center"/>
            <w:tcMar>
              <w:top w:w="100" w:type="dxa"/>
              <w:bottom w:w="100" w:type="dxa"/>
              <w:start w:w="120" w:type="dxa"/>
              <w:end w:w="120" w:type="dxa"/>
            </w:tcMar>
          </w:tcPr>
          <w:p>
            <w:pPr>
              <w:spacing w:before="0" w:after="0" w:line="240" w:lineRule="auto"/>
            </w:pPr>
            <w:r>
              <w:rPr>
                <w:rFonts w:ascii="Calibri" w:hAnsi="Calibri"/>
                <w:b w:val="0"/>
                <w:color w:val="192530"/>
                <w:sz w:val="15"/>
              </w:rPr>
              <w:t>Very Good; 0.6% growth</w:t>
            </w:r>
          </w:p>
        </w:tc>
      </w:tr>
    </w:tbl>
    <w:p>
      <w:pPr>
        <w:keepLines/>
        <w:spacing w:before="0" w:after="160" w:line="264" w:lineRule="auto"/>
        <w:ind w:left="0"/>
      </w:pPr>
      <w:r>
        <w:rPr>
          <w:rFonts w:ascii="Calibri" w:hAnsi="Calibri"/>
          <w:color w:val="192530"/>
          <w:sz w:val="22"/>
        </w:rPr>
        <w:t>The Government may verify the records above and consider relevance, context, and trend. All project names and performance records in this exercise proposal are fictional.</w:t>
      </w:r>
    </w:p>
    <w:p>
      <w:pPr>
        <w:pStyle w:val="Heading1"/>
        <w:keepNext/>
      </w:pPr>
      <w:r>
        <w:t>Firm-fixed-price breakout</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700"/>
        <w:gridCol w:w="6260"/>
        <w:gridCol w:w="2400"/>
      </w:tblGrid>
      <w:tr>
        <w:trPr>
          <w:tblHeader w:val="true"/>
        </w:trPr>
        <w:tc>
          <w:tcPr>
            <w:tcW w:type="dxa" w:w="7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Item</w:t>
            </w:r>
          </w:p>
        </w:tc>
        <w:tc>
          <w:tcPr>
            <w:tcW w:type="dxa" w:w="62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Price element</w:t>
            </w:r>
          </w:p>
        </w:tc>
        <w:tc>
          <w:tcPr>
            <w:tcW w:type="dxa" w:w="24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6"/>
              </w:rPr>
              <w:t>Amount</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1</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Design, surveys, management, bonds, and controls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$876,000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2</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Roof and exterior envelope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$1,418,000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3</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Interior renewal and mission spaces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$1,710,000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4</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Electrical, emergency power, and communications pathways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$1,418,000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5</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HVAC, plumbing, fire protection, and life safety</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$876,000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6</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Site security, boulders, entries, drainage, and restoration</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$834,000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7</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Commissioning, training, closeout, and remote logistics</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$626,000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t>8</w:t>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Offeror contingency and price balance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$582,000</w:t>
            </w:r>
          </w:p>
        </w:tc>
      </w:tr>
      <w:tr>
        <w:tc>
          <w:tcPr>
            <w:tcW w:type="dxa" w:w="700"/>
            <w:vAlign w:val="center"/>
            <w:tcMar>
              <w:top w:w="100" w:type="dxa"/>
              <w:bottom w:w="100" w:type="dxa"/>
              <w:start w:w="120" w:type="dxa"/>
              <w:end w:w="120" w:type="dxa"/>
            </w:tcMar>
          </w:tcPr>
          <w:p>
            <w:pPr>
              <w:spacing w:before="0" w:after="0" w:line="240" w:lineRule="auto"/>
            </w:pPr>
            <w:r>
              <w:rPr>
                <w:rFonts w:ascii="Calibri" w:hAnsi="Calibri"/>
                <w:b w:val="0"/>
                <w:color w:val="192530"/>
                <w:sz w:val="16"/>
              </w:rPr>
            </w:r>
          </w:p>
        </w:tc>
        <w:tc>
          <w:tcPr>
            <w:tcW w:type="dxa" w:w="6260"/>
            <w:vAlign w:val="center"/>
            <w:tcMar>
              <w:top w:w="100" w:type="dxa"/>
              <w:bottom w:w="100" w:type="dxa"/>
              <w:start w:w="120" w:type="dxa"/>
              <w:end w:w="120" w:type="dxa"/>
            </w:tcMar>
          </w:tcPr>
          <w:p>
            <w:pPr>
              <w:spacing w:before="0" w:after="0" w:line="240" w:lineRule="auto"/>
            </w:pPr>
            <w:r>
              <w:rPr>
                <w:rFonts w:ascii="Calibri" w:hAnsi="Calibri"/>
                <w:b w:val="0"/>
                <w:color w:val="192530"/>
                <w:sz w:val="16"/>
              </w:rPr>
              <w:t>TOTAL FIRM-FIXED PRICE</w:t>
            </w:r>
          </w:p>
        </w:tc>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6"/>
              </w:rPr>
              <w:t>$8,340,000</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3EE"/>
            <w:vAlign w:val="center"/>
            <w:tcMar>
              <w:top w:w="100" w:type="dxa"/>
              <w:bottom w:w="100" w:type="dxa"/>
              <w:start w:w="120" w:type="dxa"/>
              <w:end w:w="120" w:type="dxa"/>
            </w:tcMar>
          </w:tcPr>
          <w:p>
            <w:pPr>
              <w:spacing w:after="0" w:line="252" w:lineRule="auto"/>
            </w:pPr>
            <w:r>
              <w:rPr>
                <w:rFonts w:ascii="Calibri" w:hAnsi="Calibri"/>
                <w:b/>
                <w:color w:val="8E4F47"/>
                <w:sz w:val="18"/>
              </w:rPr>
              <w:t xml:space="preserve">OFFER. </w:t>
            </w:r>
            <w:r>
              <w:rPr>
                <w:rFonts w:ascii="Calibri" w:hAnsi="Calibri"/>
                <w:color w:val="192530"/>
                <w:sz w:val="18"/>
              </w:rPr>
              <w:t>Militaires Sans Frontières Construction JV offers the complete requirement for $8,340,000, firm fixed price, subject to SM-MACC-01 and CP-27-008.</w:t>
            </w:r>
          </w:p>
        </w:tc>
      </w:tr>
    </w:tbl>
    <w:p>
      <w:pPr>
        <w:keepLines/>
        <w:spacing w:before="0" w:after="60" w:line="252" w:lineRule="auto"/>
      </w:pPr>
      <w:r>
        <w:rPr>
          <w:rFonts w:ascii="Calibri" w:hAnsi="Calibri"/>
          <w:b/>
          <w:color w:val="192530"/>
          <w:sz w:val="22"/>
        </w:rPr>
        <w:t xml:space="preserve">AUTHORIZED OFFEROR: </w:t>
      </w:r>
      <w:r>
        <w:rPr>
          <w:rFonts w:ascii="Calibri" w:hAnsi="Calibri"/>
          <w:color w:val="192530"/>
          <w:sz w:val="22"/>
        </w:rPr>
        <w:t>/s/ Ana Valencia, CCM, for Militaires Sans Frontières Construction JV</w:t>
      </w:r>
    </w:p>
    <w:p>
      <w:pPr>
        <w:keepLines/>
        <w:spacing w:before="0" w:after="0" w:line="252" w:lineRule="auto"/>
      </w:pPr>
      <w:r>
        <w:rPr>
          <w:rFonts w:ascii="Calibri" w:hAnsi="Calibri"/>
          <w:b/>
          <w:color w:val="192530"/>
          <w:sz w:val="22"/>
        </w:rPr>
        <w:t xml:space="preserve">DATE: </w:t>
      </w:r>
      <w:r>
        <w:rPr>
          <w:rFonts w:ascii="Calibri" w:hAnsi="Calibri"/>
          <w:color w:val="192530"/>
          <w:sz w:val="22"/>
        </w:rPr>
        <w:t>21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G-04  |  MSF CONSTRUCTION JV DESIGN-BUILD PROPOSAL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G-04 Command Post Design-Build Proposal</dc:title>
  <dc:subject>Concept design and best-value proposal from Militaires Sans Frontières Construction JV</dc:subject>
  <dc:creator>Militaires Sans Frontières Construction JV</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