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FIRE-PROTECTION DESIGN BASIS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Building 100 emergency-vehicle access | Alignment determination | 12 July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5EFD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8E4F47"/>
                <w:sz w:val="18"/>
              </w:rPr>
              <w:t xml:space="preserve">DETERMINATION. </w:t>
            </w:r>
            <w:r>
              <w:rPr>
                <w:rFonts w:ascii="Calibri" w:hAnsi="Calibri"/>
                <w:color w:val="192530"/>
                <w:sz w:val="18"/>
              </w:rPr>
              <w:t>The H-03 north-south alignment is approved as the acquisition basis and is not laterally relocatable to accommodate unrelated sitework. A proposed departure requires a new qualified fire-protection analysis and written approval before it may be used.</w:t>
            </w:r>
          </w:p>
        </w:tc>
      </w:tr>
    </w:tbl>
    <w:p>
      <w:pPr>
        <w:pStyle w:val="Heading1"/>
        <w:keepNext/>
      </w:pPr>
      <w:r>
        <w:t>Basis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8"/>
        </w:rPr>
        <w:t>Building 100 exceeds 5,000 square feet. UFC 3-600-01, section 9-1.1, therefore requires at least one means of all-weather ground access for unimpeded emergency-vehicle access.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8"/>
        </w:rPr>
        <w:t>The access surface must start from a road and terminate no farther than 33 feet from an exterior door accessible for fire-department ingress. H-03 places the lane's east pavement edge 28 feet from the designated west-side ingress door.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8"/>
        </w:rPr>
        <w:t>UFC 3-600-01, section 9-1.3, requires fire-lane and turnaround dimensions to comply with NFPA 1 and requires vehicle access to be coordinated with the installation or responding fire department.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8"/>
        </w:rPr>
        <w:t>The approved 24-foot clear envelope and turning apron fit the installation's apparatus template. The engineered all-weather aggregate surface is accepted for this remote site subject to the geotechnical, drainage, compaction, and final apparatus tests in H-02.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8"/>
        </w:rPr>
        <w:t>The existing roadway tie-in, west ingress door, grade, drainage outlet, hydrant connection, apparatus maneuvering, and snow-storage clearances jointly fix the lateral position shown in H-03.</w:t>
      </w:r>
    </w:p>
    <w:p>
      <w:pPr>
        <w:pStyle w:val="Heading1"/>
        <w:keepNext/>
      </w:pPr>
      <w:r>
        <w:t>Required disposition of conflicts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Do not move the fire lane merely because another project proposes fixed security sitework in the same corridor. Preserve the H-03 road envelope and bring any competing barrier or site design back to the responsible security, civil, fire-protection, and contracting officials for coordinated revision before award or reliance.</w:t>
      </w:r>
    </w:p>
    <w:p>
      <w:pPr>
        <w:pStyle w:val="Heading1"/>
        <w:keepNext/>
      </w:pPr>
      <w:r>
        <w:t>Approval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INSTALLATION FIRE CHIEF: </w:t>
      </w:r>
      <w:r>
        <w:rPr>
          <w:rFonts w:ascii="Calibri" w:hAnsi="Calibri"/>
          <w:color w:val="192530"/>
          <w:sz w:val="22"/>
        </w:rPr>
        <w:t>/s/ Vulcan Raven, GS-13, DAF, Fire Emergency Services (713 CES)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DATE: </w:t>
      </w:r>
      <w:r>
        <w:rPr>
          <w:rFonts w:ascii="Calibri" w:hAnsi="Calibri"/>
          <w:color w:val="192530"/>
          <w:sz w:val="22"/>
        </w:rPr>
        <w:t>12 July 2027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DFPE APPROVAL: </w:t>
      </w:r>
      <w:r>
        <w:rPr>
          <w:rFonts w:ascii="Calibri" w:hAnsi="Calibri"/>
          <w:color w:val="192530"/>
          <w:sz w:val="22"/>
        </w:rPr>
        <w:t>/s/ Natasha Romanenko, PE, DAF Designated Fire Protection Engineer</w:t>
      </w:r>
    </w:p>
    <w:p>
      <w:pPr>
        <w:keepLines/>
        <w:spacing w:before="0" w:after="80" w:line="252" w:lineRule="auto"/>
      </w:pPr>
      <w:r>
        <w:rPr>
          <w:rFonts w:ascii="Calibri" w:hAnsi="Calibri"/>
          <w:b/>
          <w:color w:val="192530"/>
          <w:sz w:val="22"/>
        </w:rPr>
        <w:t xml:space="preserve">DATE: </w:t>
      </w:r>
      <w:r>
        <w:rPr>
          <w:rFonts w:ascii="Calibri" w:hAnsi="Calibri"/>
          <w:color w:val="192530"/>
          <w:sz w:val="22"/>
        </w:rPr>
        <w:t>13 July 2027</w:t>
      </w:r>
    </w:p>
    <w:p>
      <w:pPr>
        <w:pStyle w:val="Heading1"/>
        <w:keepNext/>
      </w:pPr>
      <w:r>
        <w:t>Authority trail</w:t>
      </w:r>
    </w:p>
    <w:p>
      <w:pPr>
        <w:keepLines/>
        <w:spacing w:before="0" w:after="0" w:line="264" w:lineRule="auto"/>
        <w:ind w:left="0"/>
      </w:pPr>
      <w:r>
        <w:rPr>
          <w:rFonts w:ascii="Calibri" w:hAnsi="Calibri"/>
          <w:color w:val="192530"/>
          <w:sz w:val="22"/>
        </w:rPr>
        <w:t>UFC 3-600-01, Fire Protection Engineering for Facilities, Change 6 (6 May 2021), sections 1-3, 9-1.1, 9-1.3, and 9-1.4. The UFC is mandatory DoD technical criteria for this facility; it is not presented here as a separate Act of Congress.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H-04  |  FIRE-PROTECTION ALIGNMENT APPROVAL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H-04 Fire-Protection Design Basis</dc:title>
  <dc:subject>Approved and fixed fire-lane alignment for Building 100</dc:subject>
  <dc:creator>Fire Emergency Services, 713th Civil Engineer Squadron</dc:creator>
  <cp:keywords>training, construction contracting, design-build, MACC, Shadow Moses</cp:keywords>
  <dc:description>Training use only. All names, dates, amounts, requirements, records, and signatures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