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pageBreakBefore w:val="0"/>
        <w:spacing w:before="80" w:after="60"/>
        <w:jc w:val="center"/>
      </w:pPr>
      <w:r>
        <w:rPr>
          <w:rFonts w:ascii="Calibri" w:hAnsi="Calibri"/>
          <w:b/>
          <w:color w:val="192530"/>
          <w:sz w:val="32"/>
        </w:rPr>
        <w:t>FIRE-LANE PROCUREMENT + DELIVERY SCHEDULE</w:t>
      </w:r>
    </w:p>
    <w:p>
      <w:pPr>
        <w:keepNext/>
        <w:spacing w:before="0" w:after="200"/>
        <w:jc w:val="center"/>
      </w:pPr>
      <w:r>
        <w:rPr>
          <w:rFonts w:ascii="Calibri" w:hAnsi="Calibri"/>
          <w:b/>
          <w:color w:val="606A74"/>
          <w:sz w:val="21"/>
        </w:rPr>
        <w:t>FL-27-014 | Baseline dated 20 July 2027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A8B4BC"/>
          <w:left w:val="single" w:sz="5" w:color="A8B4BC"/>
          <w:bottom w:val="single" w:sz="5" w:color="A8B4BC"/>
          <w:right w:val="single" w:sz="5" w:color="A8B4BC"/>
          <w:insideH w:val="single" w:sz="5" w:color="A8B4BC"/>
          <w:insideV w:val="single" w:sz="5" w:color="A8B4BC"/>
        </w:tblBorders>
      </w:tblPr>
      <w:tblGrid>
        <w:gridCol w:w="9360"/>
      </w:tblGrid>
      <w:tr>
        <w:tc>
          <w:tcPr>
            <w:tcW w:type="dxa" w:w="9360"/>
            <w:shd w:fill="EAF1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color w:val="8E4F47"/>
                <w:sz w:val="18"/>
              </w:rPr>
              <w:t xml:space="preserve">SCHEDULE PREMISE. </w:t>
            </w:r>
            <w:r>
              <w:rPr>
                <w:rFonts w:ascii="Calibri" w:hAnsi="Calibri"/>
                <w:color w:val="192530"/>
                <w:sz w:val="18"/>
              </w:rPr>
              <w:t>The 31 August 2028 completion date supports Command Post commissioning. Coordination of the G and H site criteria is required before either acquisition creates contractor reliance.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7C8791"/>
          <w:left w:val="single" w:sz="6" w:color="7C8791"/>
          <w:bottom w:val="single" w:sz="6" w:color="7C8791"/>
          <w:right w:val="single" w:sz="6" w:color="7C8791"/>
          <w:insideH w:val="single" w:sz="6" w:color="7C8791"/>
          <w:insideV w:val="single" w:sz="6" w:color="7C8791"/>
        </w:tblBorders>
      </w:tblPr>
      <w:tblGrid>
        <w:gridCol w:w="2500"/>
        <w:gridCol w:w="1500"/>
        <w:gridCol w:w="1450"/>
        <w:gridCol w:w="3910"/>
      </w:tblGrid>
      <w:tr>
        <w:trPr>
          <w:tblHeader w:val="true"/>
        </w:trPr>
        <w:tc>
          <w:tcPr>
            <w:tcW w:type="dxa" w:w="250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6"/>
              </w:rPr>
              <w:t>Milestone</w:t>
            </w:r>
          </w:p>
        </w:tc>
        <w:tc>
          <w:tcPr>
            <w:tcW w:type="dxa" w:w="150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6"/>
              </w:rPr>
              <w:t>Date</w:t>
            </w:r>
          </w:p>
        </w:tc>
        <w:tc>
          <w:tcPr>
            <w:tcW w:type="dxa" w:w="145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6"/>
              </w:rPr>
              <w:t>Status</w:t>
            </w:r>
          </w:p>
        </w:tc>
        <w:tc>
          <w:tcPr>
            <w:tcW w:type="dxa" w:w="391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6"/>
              </w:rPr>
              <w:t>Control / dependency</w:t>
            </w:r>
          </w:p>
        </w:tc>
      </w:tr>
      <w:tr>
        <w:tc>
          <w:tcPr>
            <w:tcW w:type="dxa" w:w="25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Requirement and certified funds</w:t>
            </w:r>
          </w:p>
        </w:tc>
        <w:tc>
          <w:tcPr>
            <w:tcW w:type="dxa" w:w="15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10 Jul 2027</w:t>
            </w:r>
          </w:p>
        </w:tc>
        <w:tc>
          <w:tcPr>
            <w:tcW w:type="dxa" w:w="14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Complete</w:t>
            </w:r>
          </w:p>
        </w:tc>
        <w:tc>
          <w:tcPr>
            <w:tcW w:type="dxa" w:w="391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H-01 through H-04 establish scope, funding, and fixed alignment.</w:t>
            </w:r>
          </w:p>
        </w:tc>
      </w:tr>
      <w:tr>
        <w:tc>
          <w:tcPr>
            <w:tcW w:type="dxa" w:w="25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Cross-project site review</w:t>
            </w:r>
          </w:p>
        </w:tc>
        <w:tc>
          <w:tcPr>
            <w:tcW w:type="dxa" w:w="15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27 Jul 2027</w:t>
            </w:r>
          </w:p>
        </w:tc>
        <w:tc>
          <w:tcPr>
            <w:tcW w:type="dxa" w:w="14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Decision point</w:t>
            </w:r>
          </w:p>
        </w:tc>
        <w:tc>
          <w:tcPr>
            <w:tcW w:type="dxa" w:w="391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Compare the Command Post proposals with this lane before either award.</w:t>
            </w:r>
          </w:p>
        </w:tc>
      </w:tr>
      <w:tr>
        <w:tc>
          <w:tcPr>
            <w:tcW w:type="dxa" w:w="25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Corrected common site criteria</w:t>
            </w:r>
          </w:p>
        </w:tc>
        <w:tc>
          <w:tcPr>
            <w:tcW w:type="dxa" w:w="15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4 Aug 2027</w:t>
            </w:r>
          </w:p>
        </w:tc>
        <w:tc>
          <w:tcPr>
            <w:tcW w:type="dxa" w:w="14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Planned</w:t>
            </w:r>
          </w:p>
        </w:tc>
        <w:tc>
          <w:tcPr>
            <w:tcW w:type="dxa" w:w="391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Issue any material correction through the applicable competition/order channel.</w:t>
            </w:r>
          </w:p>
        </w:tc>
      </w:tr>
      <w:tr>
        <w:tc>
          <w:tcPr>
            <w:tcW w:type="dxa" w:w="25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SABER proposal request</w:t>
            </w:r>
          </w:p>
        </w:tc>
        <w:tc>
          <w:tcPr>
            <w:tcW w:type="dxa" w:w="15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9 Aug 2027</w:t>
            </w:r>
          </w:p>
        </w:tc>
        <w:tc>
          <w:tcPr>
            <w:tcW w:type="dxa" w:w="14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Planned</w:t>
            </w:r>
          </w:p>
        </w:tc>
        <w:tc>
          <w:tcPr>
            <w:tcW w:type="dxa" w:w="391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Outer Heaven receives the coordinated H requirement.</w:t>
            </w:r>
          </w:p>
        </w:tc>
      </w:tr>
      <w:tr>
        <w:tc>
          <w:tcPr>
            <w:tcW w:type="dxa" w:w="25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Site verification and proposal</w:t>
            </w:r>
          </w:p>
        </w:tc>
        <w:tc>
          <w:tcPr>
            <w:tcW w:type="dxa" w:w="15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12-30 Aug 2027</w:t>
            </w:r>
          </w:p>
        </w:tc>
        <w:tc>
          <w:tcPr>
            <w:tcW w:type="dxa" w:w="14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Planned</w:t>
            </w:r>
          </w:p>
        </w:tc>
        <w:tc>
          <w:tcPr>
            <w:tcW w:type="dxa" w:w="391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Verify geometry, quantities, utilities, and remote logistics.</w:t>
            </w:r>
          </w:p>
        </w:tc>
      </w:tr>
      <w:tr>
        <w:tc>
          <w:tcPr>
            <w:tcW w:type="dxa" w:w="25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Negotiation and award</w:t>
            </w:r>
          </w:p>
        </w:tc>
        <w:tc>
          <w:tcPr>
            <w:tcW w:type="dxa" w:w="15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1-15 Sep 2027</w:t>
            </w:r>
          </w:p>
        </w:tc>
        <w:tc>
          <w:tcPr>
            <w:tcW w:type="dxa" w:w="14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Planned</w:t>
            </w:r>
          </w:p>
        </w:tc>
        <w:tc>
          <w:tcPr>
            <w:tcW w:type="dxa" w:w="391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Determine price fair and reasonable and issue the written task order.</w:t>
            </w:r>
          </w:p>
        </w:tc>
      </w:tr>
      <w:tr>
        <w:tc>
          <w:tcPr>
            <w:tcW w:type="dxa" w:w="25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Submittals and long-lead preparation</w:t>
            </w:r>
          </w:p>
        </w:tc>
        <w:tc>
          <w:tcPr>
            <w:tcW w:type="dxa" w:w="15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Sep 2027-Apr 2028</w:t>
            </w:r>
          </w:p>
        </w:tc>
        <w:tc>
          <w:tcPr>
            <w:tcW w:type="dxa" w:w="14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Planned</w:t>
            </w:r>
          </w:p>
        </w:tc>
        <w:tc>
          <w:tcPr>
            <w:tcW w:type="dxa" w:w="391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Survey, geotechnical, aggregate, drainage, hydrant, and apparatus-turning submittals.</w:t>
            </w:r>
          </w:p>
        </w:tc>
      </w:tr>
      <w:tr>
        <w:tc>
          <w:tcPr>
            <w:tcW w:type="dxa" w:w="25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Earthwork and drainage</w:t>
            </w:r>
          </w:p>
        </w:tc>
        <w:tc>
          <w:tcPr>
            <w:tcW w:type="dxa" w:w="15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May-Jun 2028</w:t>
            </w:r>
          </w:p>
        </w:tc>
        <w:tc>
          <w:tcPr>
            <w:tcW w:type="dxa" w:w="14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Planned</w:t>
            </w:r>
          </w:p>
        </w:tc>
        <w:tc>
          <w:tcPr>
            <w:tcW w:type="dxa" w:w="391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Thaw-sensitive work begins after accepted controls.</w:t>
            </w:r>
          </w:p>
        </w:tc>
      </w:tr>
      <w:tr>
        <w:tc>
          <w:tcPr>
            <w:tcW w:type="dxa" w:w="25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Aggregate, apron, and water work</w:t>
            </w:r>
          </w:p>
        </w:tc>
        <w:tc>
          <w:tcPr>
            <w:tcW w:type="dxa" w:w="15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Jul-Aug 2028</w:t>
            </w:r>
          </w:p>
        </w:tc>
        <w:tc>
          <w:tcPr>
            <w:tcW w:type="dxa" w:w="14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Planned</w:t>
            </w:r>
          </w:p>
        </w:tc>
        <w:tc>
          <w:tcPr>
            <w:tcW w:type="dxa" w:w="391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Complete lifts, culverts, turning apron, lateral, hydrant, and restoration.</w:t>
            </w:r>
          </w:p>
        </w:tc>
      </w:tr>
      <w:tr>
        <w:tc>
          <w:tcPr>
            <w:tcW w:type="dxa" w:w="25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Apparatus test and final acceptance</w:t>
            </w:r>
          </w:p>
        </w:tc>
        <w:tc>
          <w:tcPr>
            <w:tcW w:type="dxa" w:w="15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31 Aug 2028</w:t>
            </w:r>
          </w:p>
        </w:tc>
        <w:tc>
          <w:tcPr>
            <w:tcW w:type="dxa" w:w="14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Required</w:t>
            </w:r>
          </w:p>
        </w:tc>
        <w:tc>
          <w:tcPr>
            <w:tcW w:type="dxa" w:w="391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Full-width access, turning, drainage, hydrant, and record-document verification.</w:t>
            </w:r>
          </w:p>
        </w:tc>
      </w:tr>
    </w:tbl>
    <w:p>
      <w:pPr>
        <w:pStyle w:val="Heading1"/>
        <w:keepNext/>
      </w:pPr>
      <w:r>
        <w:t>Critical interface</w:t>
      </w:r>
    </w:p>
    <w:p>
      <w:pPr>
        <w:keepLines/>
        <w:spacing w:before="0" w:after="120" w:line="264" w:lineRule="auto"/>
        <w:ind w:left="0"/>
      </w:pPr>
      <w:r>
        <w:rPr>
          <w:rFonts w:ascii="Calibri" w:hAnsi="Calibri"/>
          <w:color w:val="192530"/>
          <w:sz w:val="22"/>
        </w:rPr>
        <w:t>A late relocation of installed Command Post boulders would consume winter-weather contingency, require demolition and reconstruction, and risk both the 31 August fire-lane completion and the 15 October Command Post turnover. The schedule contains time for pre-award proposal revision; it does not assume avoidable postaward relocation.</w:t>
      </w:r>
    </w:p>
    <w:p>
      <w:pPr>
        <w:keepLines/>
        <w:spacing w:before="0" w:after="60" w:line="252" w:lineRule="auto"/>
      </w:pPr>
      <w:r>
        <w:rPr>
          <w:rFonts w:ascii="Calibri" w:hAnsi="Calibri"/>
          <w:b/>
          <w:color w:val="192530"/>
          <w:sz w:val="22"/>
        </w:rPr>
        <w:t xml:space="preserve">PREPARED BY: </w:t>
      </w:r>
      <w:r>
        <w:rPr>
          <w:rFonts w:ascii="Calibri" w:hAnsi="Calibri"/>
          <w:color w:val="192530"/>
          <w:sz w:val="22"/>
        </w:rPr>
        <w:t>/s/ Hal Emmerich, NH-03, Chief Facilities Engineer, 713 CES</w:t>
      </w:r>
    </w:p>
    <w:p>
      <w:pPr>
        <w:keepLines/>
        <w:spacing w:before="0" w:after="0" w:line="252" w:lineRule="auto"/>
      </w:pPr>
      <w:r>
        <w:rPr>
          <w:rFonts w:ascii="Calibri" w:hAnsi="Calibri"/>
          <w:b/>
          <w:color w:val="192530"/>
          <w:sz w:val="22"/>
        </w:rPr>
        <w:t xml:space="preserve">DATE: </w:t>
      </w:r>
      <w:r>
        <w:rPr>
          <w:rFonts w:ascii="Calibri" w:hAnsi="Calibri"/>
          <w:color w:val="192530"/>
          <w:sz w:val="22"/>
        </w:rPr>
        <w:t>20 July 2027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23" w:right="1440" w:bottom="1037" w:left="1440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Calibri" w:hAnsi="Calibri"/>
        <w:color w:val="606A74"/>
        <w:sz w:val="17"/>
      </w:rPr>
      <w:t xml:space="preserve">H-05  |  PROCUREMENT MILESTONE SCHEDULE  |  DRAFT  |  Page </w:t>
    </w:r>
    <w:r>
      <w:rPr>
        <w:rFonts w:ascii="Calibri" w:hAnsi="Calibri"/>
        <w:color w:val="606A74"/>
        <w:sz w:val="17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Calibri" w:hAnsi="Calibri"/>
        <w:color w:val="606A74"/>
        <w:sz w:val="17"/>
      </w:rPr>
      <w:t xml:space="preserve"> of </w:t>
    </w:r>
    <w:r>
      <w:rPr>
        <w:rFonts w:ascii="Calibri" w:hAnsi="Calibri"/>
        <w:color w:val="606A74"/>
        <w:sz w:val="17"/>
      </w:rP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/>
      <w:jc w:val="right"/>
    </w:pPr>
    <w:r>
      <w:rPr>
        <w:rFonts w:ascii="Calibri" w:hAnsi="Calibri"/>
        <w:b/>
        <w:color w:val="606A74"/>
        <w:sz w:val="17"/>
      </w:rPr>
      <w:t>EXERCISE USE ONLY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color w:val="19253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H-05 Fire-Lane Procurement + Delivery Schedule</dc:title>
  <dc:subject>Acquisition and construction milestone schedule for the Command Post fire lane</dc:subject>
  <dc:creator>713th Civil Engineer Squadron</dc:creator>
  <cp:keywords>training, construction contracting, design-build, MACC, Shadow Moses</cp:keywords>
  <dc:description>Training use only. All names, dates, amounts, requirements, records, and signatures are fictional.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