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pageBreakBefore w:val="0"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INDEPENDENT GOVERNMENT COST ESTIMATE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FL-27-014 | Command Post all-weather fire lane | 18 July 2027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2500"/>
        <w:gridCol w:w="6860"/>
      </w:tblGrid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Estimate total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$4,160,000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Pricing method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Localized SABER unit-price book quantities × awarded coefficient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Planned prime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Outer Heaven Builders, LLC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Water-work participant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Bering Fire &amp; Water, LLC (planned subcontractor)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Price level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FY27 remote Alaska labor, material, equipment, and logistics basis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c>
          <w:tcPr>
            <w:tcW w:type="dxa" w:w="936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8E4F47"/>
                <w:sz w:val="18"/>
              </w:rPr>
              <w:t xml:space="preserve">METHOD. </w:t>
            </w:r>
            <w:r>
              <w:rPr>
                <w:rFonts w:ascii="Calibri" w:hAnsi="Calibri"/>
                <w:color w:val="192530"/>
                <w:sz w:val="18"/>
              </w:rPr>
              <w:t>The Government did not invent lump-sum bid prices. It measured the H-02/H-03 work, extended localized public unit-price-book items, and applied Outer Heaven's awarded SABER coefficients. The resulting amount is an independent negotiation objective, not an entitlement.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520"/>
        <w:gridCol w:w="3380"/>
        <w:gridCol w:w="1150"/>
        <w:gridCol w:w="1450"/>
        <w:gridCol w:w="900"/>
        <w:gridCol w:w="1960"/>
      </w:tblGrid>
      <w:tr>
        <w:trPr>
          <w:tblHeader w:val="true"/>
        </w:trPr>
        <w:tc>
          <w:tcPr>
            <w:tcW w:type="dxa" w:w="52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4"/>
              </w:rPr>
              <w:t>Item</w:t>
            </w:r>
          </w:p>
        </w:tc>
        <w:tc>
          <w:tcPr>
            <w:tcW w:type="dxa" w:w="338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4"/>
              </w:rPr>
              <w:t>Work element</w:t>
            </w:r>
          </w:p>
        </w:tc>
        <w:tc>
          <w:tcPr>
            <w:tcW w:type="dxa" w:w="115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4"/>
              </w:rPr>
              <w:t>Quantity</w:t>
            </w:r>
          </w:p>
        </w:tc>
        <w:tc>
          <w:tcPr>
            <w:tcW w:type="dxa" w:w="145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4"/>
              </w:rPr>
              <w:t>Book extension</w:t>
            </w:r>
          </w:p>
        </w:tc>
        <w:tc>
          <w:tcPr>
            <w:tcW w:type="dxa" w:w="9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4"/>
              </w:rPr>
              <w:t>Coeff.</w:t>
            </w:r>
          </w:p>
        </w:tc>
        <w:tc>
          <w:tcPr>
            <w:tcW w:type="dxa" w:w="196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4"/>
              </w:rPr>
              <w:t>Adjusted</w:t>
            </w:r>
          </w:p>
        </w:tc>
      </w:tr>
      <w:tr>
        <w:tc>
          <w:tcPr>
            <w:tcW w:type="dxa" w:w="5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1</w:t>
            </w:r>
          </w:p>
        </w:tc>
        <w:tc>
          <w:tcPr>
            <w:tcW w:type="dxa" w:w="33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Survey, design completion, management, bonds, controls</w:t>
            </w:r>
          </w:p>
        </w:tc>
        <w:tc>
          <w:tcPr>
            <w:tcW w:type="dxa" w:w="11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1 LS</w:t>
            </w:r>
          </w:p>
        </w:tc>
        <w:tc>
          <w:tcPr>
            <w:tcW w:type="dxa" w:w="14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$410,000</w:t>
            </w:r>
          </w:p>
        </w:tc>
        <w:tc>
          <w:tcPr>
            <w:tcW w:type="dxa" w:w="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0.970</w:t>
            </w:r>
          </w:p>
        </w:tc>
        <w:tc>
          <w:tcPr>
            <w:tcW w:type="dxa" w:w="19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$397,700</w:t>
            </w:r>
          </w:p>
        </w:tc>
      </w:tr>
      <w:tr>
        <w:tc>
          <w:tcPr>
            <w:tcW w:type="dxa" w:w="5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2</w:t>
            </w:r>
          </w:p>
        </w:tc>
        <w:tc>
          <w:tcPr>
            <w:tcW w:type="dxa" w:w="33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Clearing, excavation, grading, stabilization</w:t>
            </w:r>
          </w:p>
        </w:tc>
        <w:tc>
          <w:tcPr>
            <w:tcW w:type="dxa" w:w="11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26,000 CY</w:t>
            </w:r>
          </w:p>
        </w:tc>
        <w:tc>
          <w:tcPr>
            <w:tcW w:type="dxa" w:w="14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$575,000</w:t>
            </w:r>
          </w:p>
        </w:tc>
        <w:tc>
          <w:tcPr>
            <w:tcW w:type="dxa" w:w="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0.980</w:t>
            </w:r>
          </w:p>
        </w:tc>
        <w:tc>
          <w:tcPr>
            <w:tcW w:type="dxa" w:w="19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$563,500</w:t>
            </w:r>
          </w:p>
        </w:tc>
      </w:tr>
      <w:tr>
        <w:tc>
          <w:tcPr>
            <w:tcW w:type="dxa" w:w="5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3</w:t>
            </w:r>
          </w:p>
        </w:tc>
        <w:tc>
          <w:tcPr>
            <w:tcW w:type="dxa" w:w="33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Geotextile, aggregate lifts, compaction</w:t>
            </w:r>
          </w:p>
        </w:tc>
        <w:tc>
          <w:tcPr>
            <w:tcW w:type="dxa" w:w="11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17,000 TON</w:t>
            </w:r>
          </w:p>
        </w:tc>
        <w:tc>
          <w:tcPr>
            <w:tcW w:type="dxa" w:w="14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$890,000</w:t>
            </w:r>
          </w:p>
        </w:tc>
        <w:tc>
          <w:tcPr>
            <w:tcW w:type="dxa" w:w="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0.960</w:t>
            </w:r>
          </w:p>
        </w:tc>
        <w:tc>
          <w:tcPr>
            <w:tcW w:type="dxa" w:w="19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$854,400</w:t>
            </w:r>
          </w:p>
        </w:tc>
      </w:tr>
      <w:tr>
        <w:tc>
          <w:tcPr>
            <w:tcW w:type="dxa" w:w="5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4</w:t>
            </w:r>
          </w:p>
        </w:tc>
        <w:tc>
          <w:tcPr>
            <w:tcW w:type="dxa" w:w="33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Drainage ditches, culverts, erosion control</w:t>
            </w:r>
          </w:p>
        </w:tc>
        <w:tc>
          <w:tcPr>
            <w:tcW w:type="dxa" w:w="11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1 LS</w:t>
            </w:r>
          </w:p>
        </w:tc>
        <w:tc>
          <w:tcPr>
            <w:tcW w:type="dxa" w:w="14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$490,000</w:t>
            </w:r>
          </w:p>
        </w:tc>
        <w:tc>
          <w:tcPr>
            <w:tcW w:type="dxa" w:w="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0.990</w:t>
            </w:r>
          </w:p>
        </w:tc>
        <w:tc>
          <w:tcPr>
            <w:tcW w:type="dxa" w:w="19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$485,100</w:t>
            </w:r>
          </w:p>
        </w:tc>
      </w:tr>
      <w:tr>
        <w:tc>
          <w:tcPr>
            <w:tcW w:type="dxa" w:w="5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5</w:t>
            </w:r>
          </w:p>
        </w:tc>
        <w:tc>
          <w:tcPr>
            <w:tcW w:type="dxa" w:w="33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All-weather surface, shoulders, markers</w:t>
            </w:r>
          </w:p>
        </w:tc>
        <w:tc>
          <w:tcPr>
            <w:tcW w:type="dxa" w:w="11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700 LF</w:t>
            </w:r>
          </w:p>
        </w:tc>
        <w:tc>
          <w:tcPr>
            <w:tcW w:type="dxa" w:w="14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$370,000</w:t>
            </w:r>
          </w:p>
        </w:tc>
        <w:tc>
          <w:tcPr>
            <w:tcW w:type="dxa" w:w="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0.950</w:t>
            </w:r>
          </w:p>
        </w:tc>
        <w:tc>
          <w:tcPr>
            <w:tcW w:type="dxa" w:w="19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$351,500</w:t>
            </w:r>
          </w:p>
        </w:tc>
      </w:tr>
      <w:tr>
        <w:tc>
          <w:tcPr>
            <w:tcW w:type="dxa" w:w="5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6</w:t>
            </w:r>
          </w:p>
        </w:tc>
        <w:tc>
          <w:tcPr>
            <w:tcW w:type="dxa" w:w="33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Apparatus turning apron and tie-in</w:t>
            </w:r>
          </w:p>
        </w:tc>
        <w:tc>
          <w:tcPr>
            <w:tcW w:type="dxa" w:w="11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1 LS</w:t>
            </w:r>
          </w:p>
        </w:tc>
        <w:tc>
          <w:tcPr>
            <w:tcW w:type="dxa" w:w="14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$520,000</w:t>
            </w:r>
          </w:p>
        </w:tc>
        <w:tc>
          <w:tcPr>
            <w:tcW w:type="dxa" w:w="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0.980</w:t>
            </w:r>
          </w:p>
        </w:tc>
        <w:tc>
          <w:tcPr>
            <w:tcW w:type="dxa" w:w="19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$509,600</w:t>
            </w:r>
          </w:p>
        </w:tc>
      </w:tr>
      <w:tr>
        <w:tc>
          <w:tcPr>
            <w:tcW w:type="dxa" w:w="5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7</w:t>
            </w:r>
          </w:p>
        </w:tc>
        <w:tc>
          <w:tcPr>
            <w:tcW w:type="dxa" w:w="33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Hydrant lateral, valves, hydrant, testing</w:t>
            </w:r>
          </w:p>
        </w:tc>
        <w:tc>
          <w:tcPr>
            <w:tcW w:type="dxa" w:w="11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1 LS</w:t>
            </w:r>
          </w:p>
        </w:tc>
        <w:tc>
          <w:tcPr>
            <w:tcW w:type="dxa" w:w="14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$610,000</w:t>
            </w:r>
          </w:p>
        </w:tc>
        <w:tc>
          <w:tcPr>
            <w:tcW w:type="dxa" w:w="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0.990</w:t>
            </w:r>
          </w:p>
        </w:tc>
        <w:tc>
          <w:tcPr>
            <w:tcW w:type="dxa" w:w="19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$603,900</w:t>
            </w:r>
          </w:p>
        </w:tc>
      </w:tr>
      <w:tr>
        <w:tc>
          <w:tcPr>
            <w:tcW w:type="dxa" w:w="5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8</w:t>
            </w:r>
          </w:p>
        </w:tc>
        <w:tc>
          <w:tcPr>
            <w:tcW w:type="dxa" w:w="33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Mobilization, remote logistics, QA, closeout</w:t>
            </w:r>
          </w:p>
        </w:tc>
        <w:tc>
          <w:tcPr>
            <w:tcW w:type="dxa" w:w="11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1 LS</w:t>
            </w:r>
          </w:p>
        </w:tc>
        <w:tc>
          <w:tcPr>
            <w:tcW w:type="dxa" w:w="14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$394,300</w:t>
            </w:r>
          </w:p>
        </w:tc>
        <w:tc>
          <w:tcPr>
            <w:tcW w:type="dxa" w:w="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1.000</w:t>
            </w:r>
          </w:p>
        </w:tc>
        <w:tc>
          <w:tcPr>
            <w:tcW w:type="dxa" w:w="19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$394,300</w:t>
            </w:r>
          </w:p>
        </w:tc>
      </w:tr>
      <w:tr>
        <w:tc>
          <w:tcPr>
            <w:tcW w:type="dxa" w:w="5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</w:r>
          </w:p>
        </w:tc>
        <w:tc>
          <w:tcPr>
            <w:tcW w:type="dxa" w:w="33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TOTAL INDEPENDENT GOVERNMENT ESTIMATE</w:t>
            </w:r>
          </w:p>
        </w:tc>
        <w:tc>
          <w:tcPr>
            <w:tcW w:type="dxa" w:w="11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</w:r>
          </w:p>
        </w:tc>
        <w:tc>
          <w:tcPr>
            <w:tcW w:type="dxa" w:w="14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</w:r>
          </w:p>
        </w:tc>
        <w:tc>
          <w:tcPr>
            <w:tcW w:type="dxa" w:w="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</w:r>
          </w:p>
        </w:tc>
        <w:tc>
          <w:tcPr>
            <w:tcW w:type="dxa" w:w="19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4"/>
              </w:rPr>
              <w:t>$4,160,000</w:t>
            </w:r>
          </w:p>
        </w:tc>
      </w:tr>
    </w:tbl>
    <w:p>
      <w:pPr>
        <w:pStyle w:val="Heading1"/>
        <w:keepNext/>
      </w:pPr>
      <w:r>
        <w:t>Estimate assumptions</w:t>
      </w:r>
    </w:p>
    <w:p>
      <w:pPr>
        <w:pStyle w:val="ListBullet"/>
        <w:keepLines/>
        <w:spacing w:after="80" w:line="252" w:lineRule="auto"/>
      </w:pPr>
      <w:r>
        <w:rPr>
          <w:rFonts w:ascii="Calibri" w:hAnsi="Calibri"/>
          <w:color w:val="192530"/>
          <w:sz w:val="17"/>
        </w:rPr>
        <w:t>Quantities reflect the fixed 700-linear-foot, 24-foot-clear alignment and turning apron in H-03; no security-boulder relocation is included.</w:t>
      </w:r>
    </w:p>
    <w:p>
      <w:pPr>
        <w:pStyle w:val="ListBullet"/>
        <w:keepLines/>
        <w:spacing w:after="80" w:line="252" w:lineRule="auto"/>
      </w:pPr>
      <w:r>
        <w:rPr>
          <w:rFonts w:ascii="Calibri" w:hAnsi="Calibri"/>
          <w:color w:val="192530"/>
          <w:sz w:val="17"/>
        </w:rPr>
        <w:t>Localized book extensions include ordinary crew labor, material, and equipment. Coefficients reflect the awarded SABER pricing relationship; the above-unit 1.000 logistics element recognizes remote mobilization without abandoning the coefficient method.</w:t>
      </w:r>
    </w:p>
    <w:p>
      <w:pPr>
        <w:pStyle w:val="ListBullet"/>
        <w:keepLines/>
        <w:spacing w:after="80" w:line="252" w:lineRule="auto"/>
      </w:pPr>
      <w:r>
        <w:rPr>
          <w:rFonts w:ascii="Calibri" w:hAnsi="Calibri"/>
          <w:color w:val="192530"/>
          <w:sz w:val="17"/>
        </w:rPr>
        <w:t>The estimate includes hydrant and lateral work, testing, quality control, winter protection needed for planned submittal activities, bonds, and closeout.</w:t>
      </w:r>
    </w:p>
    <w:p>
      <w:pPr>
        <w:pStyle w:val="ListBullet"/>
        <w:keepLines/>
        <w:spacing w:after="80" w:line="252" w:lineRule="auto"/>
      </w:pPr>
      <w:r>
        <w:rPr>
          <w:rFonts w:ascii="Calibri" w:hAnsi="Calibri"/>
          <w:color w:val="192530"/>
          <w:sz w:val="17"/>
        </w:rPr>
        <w:t>The estimate excludes Government-directed redesign or relocation caused by an unreconciled G/H interface, differing site conditions not disclosed in the current record, and postaward scope growth.</w:t>
      </w:r>
    </w:p>
    <w:p>
      <w:pPr>
        <w:pStyle w:val="Heading1"/>
        <w:keepNext/>
      </w:pPr>
      <w:r>
        <w:t>Government approval</w:t>
      </w:r>
    </w:p>
    <w:p>
      <w:pPr>
        <w:keepLines/>
        <w:spacing w:before="0" w:after="60" w:line="252" w:lineRule="auto"/>
      </w:pPr>
      <w:r>
        <w:rPr>
          <w:rFonts w:ascii="Calibri" w:hAnsi="Calibri"/>
          <w:b/>
          <w:color w:val="192530"/>
          <w:sz w:val="22"/>
        </w:rPr>
        <w:t xml:space="preserve">PREPARED: </w:t>
      </w:r>
      <w:r>
        <w:rPr>
          <w:rFonts w:ascii="Calibri" w:hAnsi="Calibri"/>
          <w:color w:val="192530"/>
          <w:sz w:val="22"/>
        </w:rPr>
        <w:t>/s/ Decoy Octopus, GS-12, Cost Engineer, 713 CES</w:t>
      </w:r>
    </w:p>
    <w:p>
      <w:pPr>
        <w:keepLines/>
        <w:spacing w:before="0" w:after="60" w:line="252" w:lineRule="auto"/>
      </w:pPr>
      <w:r>
        <w:rPr>
          <w:rFonts w:ascii="Calibri" w:hAnsi="Calibri"/>
          <w:b/>
          <w:color w:val="192530"/>
          <w:sz w:val="22"/>
        </w:rPr>
        <w:t xml:space="preserve">TECHNICAL REVIEW: </w:t>
      </w:r>
      <w:r>
        <w:rPr>
          <w:rFonts w:ascii="Calibri" w:hAnsi="Calibri"/>
          <w:color w:val="192530"/>
          <w:sz w:val="22"/>
        </w:rPr>
        <w:t>/s/ Hal Emmerich, NH-03, Chief Facilities Engineer, 713 CES</w:t>
      </w:r>
    </w:p>
    <w:p>
      <w:pPr>
        <w:keepLines/>
        <w:spacing w:before="0" w:after="0" w:line="252" w:lineRule="auto"/>
      </w:pPr>
      <w:r>
        <w:rPr>
          <w:rFonts w:ascii="Calibri" w:hAnsi="Calibri"/>
          <w:b/>
          <w:color w:val="192530"/>
          <w:sz w:val="22"/>
        </w:rPr>
        <w:t xml:space="preserve">DATE: </w:t>
      </w:r>
      <w:r>
        <w:rPr>
          <w:rFonts w:ascii="Calibri" w:hAnsi="Calibri"/>
          <w:color w:val="192530"/>
          <w:sz w:val="22"/>
        </w:rPr>
        <w:t>18 July 2027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440" w:bottom="1037" w:left="1440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6A74"/>
        <w:sz w:val="17"/>
      </w:rPr>
      <w:t xml:space="preserve">H-06  |  INDEPENDENT GOVERNMENT COST ESTIMATE  |  DRAFT  |  Page </w:t>
    </w:r>
    <w:r>
      <w:rPr>
        <w:rFonts w:ascii="Calibri" w:hAnsi="Calibri"/>
        <w:color w:val="606A74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606A74"/>
        <w:sz w:val="17"/>
      </w:rPr>
      <w:t xml:space="preserve"> of </w:t>
    </w:r>
    <w:r>
      <w:rPr>
        <w:rFonts w:ascii="Calibri" w:hAnsi="Calibri"/>
        <w:color w:val="606A74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7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19253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H-06 Independent Government Cost Estimate</dc:title>
  <dc:subject>Coefficient-based Government estimate for the Command Post fire lane</dc:subject>
  <dc:creator>713th Civil Engineer Squadron</dc:creator>
  <cp:keywords>training, construction contracting, design-build, MACC, Shadow Moses</cp:keywords>
  <dc:description>Training use only. All names, dates, amounts, requirements, records, and signatures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