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00" w:after="40"/>
        <w:jc w:val="center"/>
      </w:pPr>
      <w:r>
        <w:rPr>
          <w:rFonts w:ascii="Calibri" w:hAnsi="Calibri"/>
          <w:b/>
          <w:color w:val="192530"/>
          <w:sz w:val="32"/>
        </w:rPr>
        <w:t>DEPARTMENT OF THE AIR FORCE</w:t>
      </w:r>
    </w:p>
    <w:p>
      <w:pPr>
        <w:keepNext/>
        <w:spacing w:before="0" w:after="280"/>
        <w:jc w:val="center"/>
      </w:pPr>
      <w:r>
        <w:rPr>
          <w:rFonts w:ascii="Calibri" w:hAnsi="Calibri"/>
          <w:b/>
          <w:color w:val="606A74"/>
          <w:sz w:val="21"/>
        </w:rPr>
        <w:t>SHADOW MOSES AIR FIELD, ALASKA</w:t>
      </w:r>
    </w:p>
    <w:p>
      <w:pPr>
        <w:keepNext/>
        <w:pageBreakBefore w:val="0"/>
        <w:spacing w:before="80" w:after="60"/>
        <w:jc w:val="center"/>
      </w:pPr>
      <w:r>
        <w:rPr>
          <w:rFonts w:ascii="Calibri" w:hAnsi="Calibri"/>
          <w:b/>
          <w:color w:val="192530"/>
          <w:sz w:val="32"/>
        </w:rPr>
        <w:t>QUALITY ASSURANCE SURVEILLANCE PLAN</w:t>
      </w:r>
    </w:p>
    <w:p>
      <w:pPr>
        <w:keepNext/>
        <w:spacing w:before="0" w:after="200"/>
        <w:jc w:val="center"/>
      </w:pPr>
      <w:r>
        <w:rPr>
          <w:rFonts w:ascii="Calibri" w:hAnsi="Calibri"/>
          <w:b/>
          <w:color w:val="606A74"/>
          <w:sz w:val="21"/>
        </w:rPr>
        <w:t>Campbell Hall Phased Headquarters Renovation · Revision 0</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2500"/>
        <w:gridCol w:w="6860"/>
      </w:tblGrid>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Contract / order</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SM-MACC-01 / Task Order FA-27-005</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Contractor</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Peace Walker Infrastructure Partners, LLC</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Order type / value</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Firm-fixed-price construction · $26,400,000.00</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Performance period</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22 March 2027 through 30 September 2028</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Surveillance level</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Type B · recurring field and records surveillance</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Plan owner</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Maj Emma Emmerich, Contracting Officer, 713 CONS</w:t>
            </w:r>
          </w:p>
        </w:tc>
      </w:tr>
    </w:tbl>
    <w:p>
      <w:pPr>
        <w:pStyle w:val="Heading1"/>
        <w:keepNext/>
      </w:pPr>
      <w:r>
        <w:t>1. Purpose and application</w:t>
      </w:r>
    </w:p>
    <w:p>
      <w:pPr>
        <w:keepLines/>
        <w:spacing w:before="0" w:after="140" w:line="264" w:lineRule="auto"/>
        <w:ind w:left="0"/>
      </w:pPr>
      <w:r>
        <w:rPr>
          <w:rFonts w:ascii="Calibri" w:hAnsi="Calibri"/>
          <w:color w:val="192530"/>
          <w:sz w:val="22"/>
        </w:rPr>
        <w:t>This Quality Assurance Surveillance Plan (QASP) describes how the Government will assess the contractor's performance against the executed task order. It identifies performance objectives, standards, surveillance methods, minimum frequencies, records, and escalation routes. It does not change the contract, reduce the contractor's quality-control responsibility, or authorize a Contracting Officer's Representative (COR) to direct work outside the written order.</w:t>
      </w:r>
    </w:p>
    <w:p>
      <w:pPr>
        <w:pStyle w:val="Heading1"/>
        <w:keepNext/>
      </w:pPr>
      <w:r>
        <w:t>2. Responsibilities and working relationships</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2400"/>
        <w:gridCol w:w="6960"/>
      </w:tblGrid>
      <w:tr>
        <w:tc>
          <w:tcPr>
            <w:tcW w:type="dxa" w:w="2400"/>
            <w:shd w:fill="E8EEF5"/>
            <w:vAlign w:val="center"/>
            <w:tcMar>
              <w:top w:w="100" w:type="dxa"/>
              <w:bottom w:w="100" w:type="dxa"/>
              <w:start w:w="120" w:type="dxa"/>
              <w:end w:w="120" w:type="dxa"/>
            </w:tcMar>
          </w:tcPr>
          <w:p>
            <w:pPr>
              <w:spacing w:before="0" w:after="0" w:line="240" w:lineRule="auto"/>
            </w:pPr>
            <w:r>
              <w:rPr>
                <w:rFonts w:ascii="Calibri" w:hAnsi="Calibri"/>
                <w:b/>
                <w:color w:val="192530"/>
                <w:sz w:val="17"/>
              </w:rPr>
              <w:t>Role</w:t>
            </w:r>
          </w:p>
        </w:tc>
        <w:tc>
          <w:tcPr>
            <w:tcW w:type="dxa" w:w="6960"/>
            <w:shd w:fill="E8EEF5"/>
            <w:vAlign w:val="center"/>
            <w:tcMar>
              <w:top w:w="100" w:type="dxa"/>
              <w:bottom w:w="100" w:type="dxa"/>
              <w:start w:w="120" w:type="dxa"/>
              <w:end w:w="120" w:type="dxa"/>
            </w:tcMar>
          </w:tcPr>
          <w:p>
            <w:pPr>
              <w:spacing w:before="0" w:after="0" w:line="240" w:lineRule="auto"/>
            </w:pPr>
            <w:r>
              <w:rPr>
                <w:rFonts w:ascii="Calibri" w:hAnsi="Calibri"/>
                <w:b/>
                <w:color w:val="192530"/>
                <w:sz w:val="17"/>
              </w:rPr>
              <w:t>Primary QASP responsibility</w:t>
            </w:r>
          </w:p>
        </w:tc>
      </w:tr>
      <w:tr>
        <w:tc>
          <w:tcPr>
            <w:tcW w:type="dxa" w:w="2400"/>
            <w:vAlign w:val="center"/>
            <w:tcMar>
              <w:top w:w="100" w:type="dxa"/>
              <w:bottom w:w="100" w:type="dxa"/>
              <w:start w:w="120" w:type="dxa"/>
              <w:end w:w="120" w:type="dxa"/>
            </w:tcMar>
          </w:tcPr>
          <w:p>
            <w:pPr>
              <w:spacing w:before="0" w:after="0" w:line="240" w:lineRule="auto"/>
            </w:pPr>
            <w:r>
              <w:rPr>
                <w:rFonts w:ascii="Calibri" w:hAnsi="Calibri"/>
                <w:b w:val="0"/>
                <w:color w:val="192530"/>
                <w:sz w:val="17"/>
              </w:rPr>
              <w:t>Contracting Officer (CO)</w:t>
            </w:r>
          </w:p>
        </w:tc>
        <w:tc>
          <w:tcPr>
            <w:tcW w:type="dxa" w:w="6960"/>
            <w:vAlign w:val="center"/>
            <w:tcMar>
              <w:top w:w="100" w:type="dxa"/>
              <w:bottom w:w="100" w:type="dxa"/>
              <w:start w:w="120" w:type="dxa"/>
              <w:end w:w="120" w:type="dxa"/>
            </w:tcMar>
          </w:tcPr>
          <w:p>
            <w:pPr>
              <w:spacing w:before="0" w:after="0" w:line="240" w:lineRule="auto"/>
            </w:pPr>
            <w:r>
              <w:rPr>
                <w:rFonts w:ascii="Calibri" w:hAnsi="Calibri"/>
                <w:b w:val="0"/>
                <w:color w:val="192530"/>
                <w:sz w:val="17"/>
              </w:rPr>
              <w:t>Retains contractual authority; issues interpretations, changes, remedies, acceptance decisions, and other binding direction.</w:t>
            </w:r>
          </w:p>
        </w:tc>
      </w:tr>
      <w:tr>
        <w:tc>
          <w:tcPr>
            <w:tcW w:type="dxa" w:w="2400"/>
            <w:vAlign w:val="center"/>
            <w:tcMar>
              <w:top w:w="100" w:type="dxa"/>
              <w:bottom w:w="100" w:type="dxa"/>
              <w:start w:w="120" w:type="dxa"/>
              <w:end w:w="120" w:type="dxa"/>
            </w:tcMar>
          </w:tcPr>
          <w:p>
            <w:pPr>
              <w:spacing w:before="0" w:after="0" w:line="240" w:lineRule="auto"/>
            </w:pPr>
            <w:r>
              <w:rPr>
                <w:rFonts w:ascii="Calibri" w:hAnsi="Calibri"/>
                <w:b w:val="0"/>
                <w:color w:val="192530"/>
                <w:sz w:val="17"/>
              </w:rPr>
              <w:t>COR</w:t>
            </w:r>
          </w:p>
        </w:tc>
        <w:tc>
          <w:tcPr>
            <w:tcW w:type="dxa" w:w="6960"/>
            <w:vAlign w:val="center"/>
            <w:tcMar>
              <w:top w:w="100" w:type="dxa"/>
              <w:bottom w:w="100" w:type="dxa"/>
              <w:start w:w="120" w:type="dxa"/>
              <w:end w:w="120" w:type="dxa"/>
            </w:tcMar>
          </w:tcPr>
          <w:p>
            <w:pPr>
              <w:spacing w:before="0" w:after="0" w:line="240" w:lineRule="auto"/>
            </w:pPr>
            <w:r>
              <w:rPr>
                <w:rFonts w:ascii="Calibri" w:hAnsi="Calibri"/>
                <w:b w:val="0"/>
                <w:color w:val="192530"/>
                <w:sz w:val="17"/>
              </w:rPr>
              <w:t>Performs only delegated surveillance; records objective facts; communicates routine technical observations; recommends action; refers contractual matters to the CO.</w:t>
            </w:r>
          </w:p>
        </w:tc>
      </w:tr>
      <w:tr>
        <w:tc>
          <w:tcPr>
            <w:tcW w:type="dxa" w:w="2400"/>
            <w:vAlign w:val="center"/>
            <w:tcMar>
              <w:top w:w="100" w:type="dxa"/>
              <w:bottom w:w="100" w:type="dxa"/>
              <w:start w:w="120" w:type="dxa"/>
              <w:end w:w="120" w:type="dxa"/>
            </w:tcMar>
          </w:tcPr>
          <w:p>
            <w:pPr>
              <w:spacing w:before="0" w:after="0" w:line="240" w:lineRule="auto"/>
            </w:pPr>
            <w:r>
              <w:rPr>
                <w:rFonts w:ascii="Calibri" w:hAnsi="Calibri"/>
                <w:b w:val="0"/>
                <w:color w:val="192530"/>
                <w:sz w:val="17"/>
              </w:rPr>
              <w:t>Contract specialist</w:t>
            </w:r>
          </w:p>
        </w:tc>
        <w:tc>
          <w:tcPr>
            <w:tcW w:type="dxa" w:w="6960"/>
            <w:vAlign w:val="center"/>
            <w:tcMar>
              <w:top w:w="100" w:type="dxa"/>
              <w:bottom w:w="100" w:type="dxa"/>
              <w:start w:w="120" w:type="dxa"/>
              <w:end w:w="120" w:type="dxa"/>
            </w:tcMar>
          </w:tcPr>
          <w:p>
            <w:pPr>
              <w:spacing w:before="0" w:after="0" w:line="240" w:lineRule="auto"/>
            </w:pPr>
            <w:r>
              <w:rPr>
                <w:rFonts w:ascii="Calibri" w:hAnsi="Calibri"/>
                <w:b w:val="0"/>
                <w:color w:val="192530"/>
                <w:sz w:val="17"/>
              </w:rPr>
              <w:t>Supports records, correspondence, funding, schedule, modification, payment, and administrative coordination for the CO.</w:t>
            </w:r>
          </w:p>
        </w:tc>
      </w:tr>
      <w:tr>
        <w:tc>
          <w:tcPr>
            <w:tcW w:type="dxa" w:w="2400"/>
            <w:vAlign w:val="center"/>
            <w:tcMar>
              <w:top w:w="100" w:type="dxa"/>
              <w:bottom w:w="100" w:type="dxa"/>
              <w:start w:w="120" w:type="dxa"/>
              <w:end w:w="120" w:type="dxa"/>
            </w:tcMar>
          </w:tcPr>
          <w:p>
            <w:pPr>
              <w:spacing w:before="0" w:after="0" w:line="240" w:lineRule="auto"/>
            </w:pPr>
            <w:r>
              <w:rPr>
                <w:rFonts w:ascii="Calibri" w:hAnsi="Calibri"/>
                <w:b w:val="0"/>
                <w:color w:val="192530"/>
                <w:sz w:val="17"/>
              </w:rPr>
              <w:t>Contractor</w:t>
            </w:r>
          </w:p>
        </w:tc>
        <w:tc>
          <w:tcPr>
            <w:tcW w:type="dxa" w:w="6960"/>
            <w:vAlign w:val="center"/>
            <w:tcMar>
              <w:top w:w="100" w:type="dxa"/>
              <w:bottom w:w="100" w:type="dxa"/>
              <w:start w:w="120" w:type="dxa"/>
              <w:end w:w="120" w:type="dxa"/>
            </w:tcMar>
          </w:tcPr>
          <w:p>
            <w:pPr>
              <w:spacing w:before="0" w:after="0" w:line="240" w:lineRule="auto"/>
            </w:pPr>
            <w:r>
              <w:rPr>
                <w:rFonts w:ascii="Calibri" w:hAnsi="Calibri"/>
                <w:b w:val="0"/>
                <w:color w:val="192530"/>
                <w:sz w:val="17"/>
              </w:rPr>
              <w:t>Maintains its own quality-control system and remains responsible for conforming work, schedule, safety, supervision, notices, records, and correction.</w:t>
            </w:r>
          </w:p>
        </w:tc>
      </w:tr>
    </w:tbl>
    <w:p>
      <w:pPr>
        <w:pStyle w:val="Heading1"/>
        <w:keepNext/>
      </w:pPr>
      <w:r>
        <w:t>3. COR authority boundary</w:t>
      </w:r>
    </w:p>
    <w:p>
      <w:pPr>
        <w:keepLines/>
        <w:spacing w:before="0" w:after="120" w:line="264" w:lineRule="auto"/>
        <w:ind w:left="0"/>
      </w:pPr>
      <w:r>
        <w:rPr>
          <w:rFonts w:ascii="Calibri" w:hAnsi="Calibri"/>
          <w:color w:val="192530"/>
          <w:sz w:val="22"/>
        </w:rPr>
        <w:t>The COR may inspect, observe, document, ask factual questions, verify records, and recommend action within the written designation. The COR may not authorize, agree to, direct, permit, or promise any change to price, quantity, quality, scope, schedule, place of performance, funding, or another contract term. Proposed extra work, substitutions, acceleration, suspension, payment disputes, REAs, claims, or interpretations with contractual effect must be referred to the CO. The contractor must not proceed on changed work without written CO authority.</w:t>
      </w:r>
    </w:p>
    <w:p>
      <w:pPr>
        <w:keepNext/>
        <w:pageBreakBefore/>
        <w:spacing w:before="80" w:after="60"/>
        <w:jc w:val="center"/>
      </w:pPr>
      <w:r>
        <w:rPr>
          <w:rFonts w:ascii="Calibri" w:hAnsi="Calibri"/>
          <w:b/>
          <w:color w:val="192530"/>
          <w:sz w:val="32"/>
        </w:rPr>
        <w:t>PERFORMANCE SURVEILLANCE MATRIX</w:t>
      </w:r>
    </w:p>
    <w:p>
      <w:pPr>
        <w:keepNext/>
        <w:spacing w:before="0" w:after="200"/>
        <w:jc w:val="center"/>
      </w:pPr>
      <w:r>
        <w:rPr>
          <w:rFonts w:ascii="Calibri" w:hAnsi="Calibri"/>
          <w:b/>
          <w:color w:val="606A74"/>
          <w:sz w:val="21"/>
        </w:rPr>
        <w:t>FA-27-005 · objectives, standards, methods, and records</w:t>
      </w:r>
    </w:p>
    <w:p>
      <w:pPr>
        <w:keepLines/>
        <w:spacing w:before="0" w:after="120" w:line="264" w:lineRule="auto"/>
        <w:ind w:left="0"/>
      </w:pPr>
      <w:r>
        <w:rPr>
          <w:rFonts w:ascii="Calibri" w:hAnsi="Calibri"/>
          <w:color w:val="192530"/>
          <w:sz w:val="22"/>
        </w:rPr>
        <w:t>Surveillance is risk-based and may be increased when performance deteriorates. Sampling does not waive a requirement or relieve the contractor from full compliance.</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1800"/>
        <w:gridCol w:w="2950"/>
        <w:gridCol w:w="2200"/>
        <w:gridCol w:w="2410"/>
      </w:tblGrid>
      <w:tr>
        <w:tc>
          <w:tcPr>
            <w:tcW w:type="dxa" w:w="1800"/>
            <w:shd w:fill="E8EEF5"/>
            <w:vAlign w:val="center"/>
            <w:tcMar>
              <w:top w:w="100" w:type="dxa"/>
              <w:bottom w:w="100" w:type="dxa"/>
              <w:start w:w="120" w:type="dxa"/>
              <w:end w:w="120" w:type="dxa"/>
            </w:tcMar>
          </w:tcPr>
          <w:p>
            <w:pPr>
              <w:spacing w:before="0" w:after="0" w:line="240" w:lineRule="auto"/>
            </w:pPr>
            <w:r>
              <w:rPr>
                <w:rFonts w:ascii="Calibri" w:hAnsi="Calibri"/>
                <w:b/>
                <w:color w:val="192530"/>
                <w:sz w:val="14"/>
              </w:rPr>
              <w:t>Objective</w:t>
            </w:r>
          </w:p>
        </w:tc>
        <w:tc>
          <w:tcPr>
            <w:tcW w:type="dxa" w:w="2950"/>
            <w:shd w:fill="E8EEF5"/>
            <w:vAlign w:val="center"/>
            <w:tcMar>
              <w:top w:w="100" w:type="dxa"/>
              <w:bottom w:w="100" w:type="dxa"/>
              <w:start w:w="120" w:type="dxa"/>
              <w:end w:w="120" w:type="dxa"/>
            </w:tcMar>
          </w:tcPr>
          <w:p>
            <w:pPr>
              <w:spacing w:before="0" w:after="0" w:line="240" w:lineRule="auto"/>
            </w:pPr>
            <w:r>
              <w:rPr>
                <w:rFonts w:ascii="Calibri" w:hAnsi="Calibri"/>
                <w:b/>
                <w:color w:val="192530"/>
                <w:sz w:val="14"/>
              </w:rPr>
              <w:t>Performance standard</w:t>
            </w:r>
          </w:p>
        </w:tc>
        <w:tc>
          <w:tcPr>
            <w:tcW w:type="dxa" w:w="2200"/>
            <w:shd w:fill="E8EEF5"/>
            <w:vAlign w:val="center"/>
            <w:tcMar>
              <w:top w:w="100" w:type="dxa"/>
              <w:bottom w:w="100" w:type="dxa"/>
              <w:start w:w="120" w:type="dxa"/>
              <w:end w:w="120" w:type="dxa"/>
            </w:tcMar>
          </w:tcPr>
          <w:p>
            <w:pPr>
              <w:spacing w:before="0" w:after="0" w:line="240" w:lineRule="auto"/>
            </w:pPr>
            <w:r>
              <w:rPr>
                <w:rFonts w:ascii="Calibri" w:hAnsi="Calibri"/>
                <w:b/>
                <w:color w:val="192530"/>
                <w:sz w:val="14"/>
              </w:rPr>
              <w:t>Method / frequency</w:t>
            </w:r>
          </w:p>
        </w:tc>
        <w:tc>
          <w:tcPr>
            <w:tcW w:type="dxa" w:w="2410"/>
            <w:shd w:fill="E8EEF5"/>
            <w:vAlign w:val="center"/>
            <w:tcMar>
              <w:top w:w="100" w:type="dxa"/>
              <w:bottom w:w="100" w:type="dxa"/>
              <w:start w:w="120" w:type="dxa"/>
              <w:end w:w="120" w:type="dxa"/>
            </w:tcMar>
          </w:tcPr>
          <w:p>
            <w:pPr>
              <w:spacing w:before="0" w:after="0" w:line="240" w:lineRule="auto"/>
            </w:pPr>
            <w:r>
              <w:rPr>
                <w:rFonts w:ascii="Calibri" w:hAnsi="Calibri"/>
                <w:b/>
                <w:color w:val="192530"/>
                <w:sz w:val="14"/>
              </w:rPr>
              <w:t>Evidence and response</w:t>
            </w:r>
          </w:p>
        </w:tc>
      </w:tr>
      <w:tr>
        <w:tc>
          <w:tcPr>
            <w:tcW w:type="dxa" w:w="1800"/>
            <w:vAlign w:val="center"/>
            <w:tcMar>
              <w:top w:w="100" w:type="dxa"/>
              <w:bottom w:w="100" w:type="dxa"/>
              <w:start w:w="120" w:type="dxa"/>
              <w:end w:w="120" w:type="dxa"/>
            </w:tcMar>
          </w:tcPr>
          <w:p>
            <w:pPr>
              <w:spacing w:before="0" w:after="0" w:line="240" w:lineRule="auto"/>
            </w:pPr>
            <w:r>
              <w:rPr>
                <w:rFonts w:ascii="Calibri" w:hAnsi="Calibri"/>
                <w:b w:val="0"/>
                <w:color w:val="192530"/>
                <w:sz w:val="14"/>
              </w:rPr>
              <w:t>Schedule and phasing</w:t>
            </w:r>
          </w:p>
        </w:tc>
        <w:tc>
          <w:tcPr>
            <w:tcW w:type="dxa" w:w="2950"/>
            <w:vAlign w:val="center"/>
            <w:tcMar>
              <w:top w:w="100" w:type="dxa"/>
              <w:bottom w:w="100" w:type="dxa"/>
              <w:start w:w="120" w:type="dxa"/>
              <w:end w:w="120" w:type="dxa"/>
            </w:tcMar>
          </w:tcPr>
          <w:p>
            <w:pPr>
              <w:spacing w:before="0" w:after="0" w:line="240" w:lineRule="auto"/>
            </w:pPr>
            <w:r>
              <w:rPr>
                <w:rFonts w:ascii="Calibri" w:hAnsi="Calibri"/>
                <w:b w:val="0"/>
                <w:color w:val="192530"/>
                <w:sz w:val="14"/>
              </w:rPr>
              <w:t>Accepted schedule and occupied-building phasing maintained; changes and delay risks promptly identified.</w:t>
            </w:r>
          </w:p>
        </w:tc>
        <w:tc>
          <w:tcPr>
            <w:tcW w:type="dxa" w:w="2200"/>
            <w:vAlign w:val="center"/>
            <w:tcMar>
              <w:top w:w="100" w:type="dxa"/>
              <w:bottom w:w="100" w:type="dxa"/>
              <w:start w:w="120" w:type="dxa"/>
              <w:end w:w="120" w:type="dxa"/>
            </w:tcMar>
          </w:tcPr>
          <w:p>
            <w:pPr>
              <w:spacing w:before="0" w:after="0" w:line="240" w:lineRule="auto"/>
            </w:pPr>
            <w:r>
              <w:rPr>
                <w:rFonts w:ascii="Calibri" w:hAnsi="Calibri"/>
                <w:b w:val="0"/>
                <w:color w:val="192530"/>
                <w:sz w:val="14"/>
              </w:rPr>
              <w:t>Review schedule, daily reports, and field progress weekly; monthly roll-up.</w:t>
            </w:r>
          </w:p>
        </w:tc>
        <w:tc>
          <w:tcPr>
            <w:tcW w:type="dxa" w:w="2410"/>
            <w:vAlign w:val="center"/>
            <w:tcMar>
              <w:top w:w="100" w:type="dxa"/>
              <w:bottom w:w="100" w:type="dxa"/>
              <w:start w:w="120" w:type="dxa"/>
              <w:end w:w="120" w:type="dxa"/>
            </w:tcMar>
          </w:tcPr>
          <w:p>
            <w:pPr>
              <w:spacing w:before="0" w:after="0" w:line="240" w:lineRule="auto"/>
            </w:pPr>
            <w:r>
              <w:rPr>
                <w:rFonts w:ascii="Calibri" w:hAnsi="Calibri"/>
                <w:b w:val="0"/>
                <w:color w:val="192530"/>
                <w:sz w:val="14"/>
              </w:rPr>
              <w:t>Update, meeting notes, photos, issue log. Elevate critical slips or Government-action needs to CO.</w:t>
            </w:r>
          </w:p>
        </w:tc>
      </w:tr>
      <w:tr>
        <w:tc>
          <w:tcPr>
            <w:tcW w:type="dxa" w:w="1800"/>
            <w:vAlign w:val="center"/>
            <w:tcMar>
              <w:top w:w="100" w:type="dxa"/>
              <w:bottom w:w="100" w:type="dxa"/>
              <w:start w:w="120" w:type="dxa"/>
              <w:end w:w="120" w:type="dxa"/>
            </w:tcMar>
          </w:tcPr>
          <w:p>
            <w:pPr>
              <w:spacing w:before="0" w:after="0" w:line="240" w:lineRule="auto"/>
            </w:pPr>
            <w:r>
              <w:rPr>
                <w:rFonts w:ascii="Calibri" w:hAnsi="Calibri"/>
                <w:b w:val="0"/>
                <w:color w:val="192530"/>
                <w:sz w:val="14"/>
              </w:rPr>
              <w:t>Quality and conformance</w:t>
            </w:r>
          </w:p>
        </w:tc>
        <w:tc>
          <w:tcPr>
            <w:tcW w:type="dxa" w:w="2950"/>
            <w:vAlign w:val="center"/>
            <w:tcMar>
              <w:top w:w="100" w:type="dxa"/>
              <w:bottom w:w="100" w:type="dxa"/>
              <w:start w:w="120" w:type="dxa"/>
              <w:end w:w="120" w:type="dxa"/>
            </w:tcMar>
          </w:tcPr>
          <w:p>
            <w:pPr>
              <w:spacing w:before="0" w:after="0" w:line="240" w:lineRule="auto"/>
            </w:pPr>
            <w:r>
              <w:rPr>
                <w:rFonts w:ascii="Calibri" w:hAnsi="Calibri"/>
                <w:b w:val="0"/>
                <w:color w:val="192530"/>
                <w:sz w:val="14"/>
              </w:rPr>
              <w:t>Work, materials, testing, and correction comply with the order; hold points observed.</w:t>
            </w:r>
          </w:p>
        </w:tc>
        <w:tc>
          <w:tcPr>
            <w:tcW w:type="dxa" w:w="2200"/>
            <w:vAlign w:val="center"/>
            <w:tcMar>
              <w:top w:w="100" w:type="dxa"/>
              <w:bottom w:w="100" w:type="dxa"/>
              <w:start w:w="120" w:type="dxa"/>
              <w:end w:w="120" w:type="dxa"/>
            </w:tcMar>
          </w:tcPr>
          <w:p>
            <w:pPr>
              <w:spacing w:before="0" w:after="0" w:line="240" w:lineRule="auto"/>
            </w:pPr>
            <w:r>
              <w:rPr>
                <w:rFonts w:ascii="Calibri" w:hAnsi="Calibri"/>
                <w:b w:val="0"/>
                <w:color w:val="192530"/>
                <w:sz w:val="14"/>
              </w:rPr>
              <w:t>Field inspection weekly and at identified preparatory, initial, test, and hold points.</w:t>
            </w:r>
          </w:p>
        </w:tc>
        <w:tc>
          <w:tcPr>
            <w:tcW w:type="dxa" w:w="2410"/>
            <w:vAlign w:val="center"/>
            <w:tcMar>
              <w:top w:w="100" w:type="dxa"/>
              <w:bottom w:w="100" w:type="dxa"/>
              <w:start w:w="120" w:type="dxa"/>
              <w:end w:w="120" w:type="dxa"/>
            </w:tcMar>
          </w:tcPr>
          <w:p>
            <w:pPr>
              <w:spacing w:before="0" w:after="0" w:line="240" w:lineRule="auto"/>
            </w:pPr>
            <w:r>
              <w:rPr>
                <w:rFonts w:ascii="Calibri" w:hAnsi="Calibri"/>
                <w:b w:val="0"/>
                <w:color w:val="192530"/>
                <w:sz w:val="14"/>
              </w:rPr>
              <w:t>Inspection log, test report, deficiency notice, verification. Refer unresolved or recurring defects.</w:t>
            </w:r>
          </w:p>
        </w:tc>
      </w:tr>
      <w:tr>
        <w:tc>
          <w:tcPr>
            <w:tcW w:type="dxa" w:w="1800"/>
            <w:vAlign w:val="center"/>
            <w:tcMar>
              <w:top w:w="100" w:type="dxa"/>
              <w:bottom w:w="100" w:type="dxa"/>
              <w:start w:w="120" w:type="dxa"/>
              <w:end w:w="120" w:type="dxa"/>
            </w:tcMar>
          </w:tcPr>
          <w:p>
            <w:pPr>
              <w:spacing w:before="0" w:after="0" w:line="240" w:lineRule="auto"/>
            </w:pPr>
            <w:r>
              <w:rPr>
                <w:rFonts w:ascii="Calibri" w:hAnsi="Calibri"/>
                <w:b w:val="0"/>
                <w:color w:val="192530"/>
                <w:sz w:val="14"/>
              </w:rPr>
              <w:t>Safety and occupied facility</w:t>
            </w:r>
          </w:p>
        </w:tc>
        <w:tc>
          <w:tcPr>
            <w:tcW w:type="dxa" w:w="2950"/>
            <w:vAlign w:val="center"/>
            <w:tcMar>
              <w:top w:w="100" w:type="dxa"/>
              <w:bottom w:w="100" w:type="dxa"/>
              <w:start w:w="120" w:type="dxa"/>
              <w:end w:w="120" w:type="dxa"/>
            </w:tcMar>
          </w:tcPr>
          <w:p>
            <w:pPr>
              <w:spacing w:before="0" w:after="0" w:line="240" w:lineRule="auto"/>
            </w:pPr>
            <w:r>
              <w:rPr>
                <w:rFonts w:ascii="Calibri" w:hAnsi="Calibri"/>
                <w:b w:val="0"/>
                <w:color w:val="192530"/>
                <w:sz w:val="14"/>
              </w:rPr>
              <w:t>Safe egress, temporary protection, utilities, dust/noise controls, and accident-prevention requirements maintained.</w:t>
            </w:r>
          </w:p>
        </w:tc>
        <w:tc>
          <w:tcPr>
            <w:tcW w:type="dxa" w:w="2200"/>
            <w:vAlign w:val="center"/>
            <w:tcMar>
              <w:top w:w="100" w:type="dxa"/>
              <w:bottom w:w="100" w:type="dxa"/>
              <w:start w:w="120" w:type="dxa"/>
              <w:end w:w="120" w:type="dxa"/>
            </w:tcMar>
          </w:tcPr>
          <w:p>
            <w:pPr>
              <w:spacing w:before="0" w:after="0" w:line="240" w:lineRule="auto"/>
            </w:pPr>
            <w:r>
              <w:rPr>
                <w:rFonts w:ascii="Calibri" w:hAnsi="Calibri"/>
                <w:b w:val="0"/>
                <w:color w:val="192530"/>
                <w:sz w:val="14"/>
              </w:rPr>
              <w:t>Observe each visit; review safety record weekly; immediate review after an incident.</w:t>
            </w:r>
          </w:p>
        </w:tc>
        <w:tc>
          <w:tcPr>
            <w:tcW w:type="dxa" w:w="2410"/>
            <w:vAlign w:val="center"/>
            <w:tcMar>
              <w:top w:w="100" w:type="dxa"/>
              <w:bottom w:w="100" w:type="dxa"/>
              <w:start w:w="120" w:type="dxa"/>
              <w:end w:w="120" w:type="dxa"/>
            </w:tcMar>
          </w:tcPr>
          <w:p>
            <w:pPr>
              <w:spacing w:before="0" w:after="0" w:line="240" w:lineRule="auto"/>
            </w:pPr>
            <w:r>
              <w:rPr>
                <w:rFonts w:ascii="Calibri" w:hAnsi="Calibri"/>
                <w:b w:val="0"/>
                <w:color w:val="192530"/>
                <w:sz w:val="14"/>
              </w:rPr>
              <w:t>Safety reports and corrective action. Immediately report imminent-danger, mission, or life-safety issues.</w:t>
            </w:r>
          </w:p>
        </w:tc>
      </w:tr>
      <w:tr>
        <w:tc>
          <w:tcPr>
            <w:tcW w:type="dxa" w:w="1800"/>
            <w:vAlign w:val="center"/>
            <w:tcMar>
              <w:top w:w="100" w:type="dxa"/>
              <w:bottom w:w="100" w:type="dxa"/>
              <w:start w:w="120" w:type="dxa"/>
              <w:end w:w="120" w:type="dxa"/>
            </w:tcMar>
          </w:tcPr>
          <w:p>
            <w:pPr>
              <w:spacing w:before="0" w:after="0" w:line="240" w:lineRule="auto"/>
            </w:pPr>
            <w:r>
              <w:rPr>
                <w:rFonts w:ascii="Calibri" w:hAnsi="Calibri"/>
                <w:b w:val="0"/>
                <w:color w:val="192530"/>
                <w:sz w:val="14"/>
              </w:rPr>
              <w:t>Submittals and Government action</w:t>
            </w:r>
          </w:p>
        </w:tc>
        <w:tc>
          <w:tcPr>
            <w:tcW w:type="dxa" w:w="2950"/>
            <w:vAlign w:val="center"/>
            <w:tcMar>
              <w:top w:w="100" w:type="dxa"/>
              <w:bottom w:w="100" w:type="dxa"/>
              <w:start w:w="120" w:type="dxa"/>
              <w:end w:w="120" w:type="dxa"/>
            </w:tcMar>
          </w:tcPr>
          <w:p>
            <w:pPr>
              <w:spacing w:before="0" w:after="0" w:line="240" w:lineRule="auto"/>
            </w:pPr>
            <w:r>
              <w:rPr>
                <w:rFonts w:ascii="Calibri" w:hAnsi="Calibri"/>
                <w:b w:val="0"/>
                <w:color w:val="192530"/>
                <w:sz w:val="14"/>
              </w:rPr>
              <w:t>Complete submittals arrive on schedule; reviews, outages, access, and decisions are tracked without hidden aging.</w:t>
            </w:r>
          </w:p>
        </w:tc>
        <w:tc>
          <w:tcPr>
            <w:tcW w:type="dxa" w:w="2200"/>
            <w:vAlign w:val="center"/>
            <w:tcMar>
              <w:top w:w="100" w:type="dxa"/>
              <w:bottom w:w="100" w:type="dxa"/>
              <w:start w:w="120" w:type="dxa"/>
              <w:end w:w="120" w:type="dxa"/>
            </w:tcMar>
          </w:tcPr>
          <w:p>
            <w:pPr>
              <w:spacing w:before="0" w:after="0" w:line="240" w:lineRule="auto"/>
            </w:pPr>
            <w:r>
              <w:rPr>
                <w:rFonts w:ascii="Calibri" w:hAnsi="Calibri"/>
                <w:b w:val="0"/>
                <w:color w:val="192530"/>
                <w:sz w:val="14"/>
              </w:rPr>
              <w:t>Review register and open actions weekly.</w:t>
            </w:r>
          </w:p>
        </w:tc>
        <w:tc>
          <w:tcPr>
            <w:tcW w:type="dxa" w:w="2410"/>
            <w:vAlign w:val="center"/>
            <w:tcMar>
              <w:top w:w="100" w:type="dxa"/>
              <w:bottom w:w="100" w:type="dxa"/>
              <w:start w:w="120" w:type="dxa"/>
              <w:end w:w="120" w:type="dxa"/>
            </w:tcMar>
          </w:tcPr>
          <w:p>
            <w:pPr>
              <w:spacing w:before="0" w:after="0" w:line="240" w:lineRule="auto"/>
            </w:pPr>
            <w:r>
              <w:rPr>
                <w:rFonts w:ascii="Calibri" w:hAnsi="Calibri"/>
                <w:b w:val="0"/>
                <w:color w:val="192530"/>
                <w:sz w:val="14"/>
              </w:rPr>
              <w:t>Register, response dates, action log. Elevate late Government action or contractor delinquency.</w:t>
            </w:r>
          </w:p>
        </w:tc>
      </w:tr>
      <w:tr>
        <w:tc>
          <w:tcPr>
            <w:tcW w:type="dxa" w:w="1800"/>
            <w:vAlign w:val="center"/>
            <w:tcMar>
              <w:top w:w="100" w:type="dxa"/>
              <w:bottom w:w="100" w:type="dxa"/>
              <w:start w:w="120" w:type="dxa"/>
              <w:end w:w="120" w:type="dxa"/>
            </w:tcMar>
          </w:tcPr>
          <w:p>
            <w:pPr>
              <w:spacing w:before="0" w:after="0" w:line="240" w:lineRule="auto"/>
            </w:pPr>
            <w:r>
              <w:rPr>
                <w:rFonts w:ascii="Calibri" w:hAnsi="Calibri"/>
                <w:b w:val="0"/>
                <w:color w:val="192530"/>
                <w:sz w:val="14"/>
              </w:rPr>
              <w:t>Labor standards</w:t>
            </w:r>
          </w:p>
        </w:tc>
        <w:tc>
          <w:tcPr>
            <w:tcW w:type="dxa" w:w="2950"/>
            <w:vAlign w:val="center"/>
            <w:tcMar>
              <w:top w:w="100" w:type="dxa"/>
              <w:bottom w:w="100" w:type="dxa"/>
              <w:start w:w="120" w:type="dxa"/>
              <w:end w:w="120" w:type="dxa"/>
            </w:tcMar>
          </w:tcPr>
          <w:p>
            <w:pPr>
              <w:spacing w:before="0" w:after="0" w:line="240" w:lineRule="auto"/>
            </w:pPr>
            <w:r>
              <w:rPr>
                <w:rFonts w:ascii="Calibri" w:hAnsi="Calibri"/>
                <w:b w:val="0"/>
                <w:color w:val="192530"/>
                <w:sz w:val="14"/>
              </w:rPr>
              <w:t>Certified payrolls accurately show classifications, rates, fringes, hours, and deductions; workers receive required compensation.</w:t>
            </w:r>
          </w:p>
        </w:tc>
        <w:tc>
          <w:tcPr>
            <w:tcW w:type="dxa" w:w="2200"/>
            <w:vAlign w:val="center"/>
            <w:tcMar>
              <w:top w:w="100" w:type="dxa"/>
              <w:bottom w:w="100" w:type="dxa"/>
              <w:start w:w="120" w:type="dxa"/>
              <w:end w:w="120" w:type="dxa"/>
            </w:tcMar>
          </w:tcPr>
          <w:p>
            <w:pPr>
              <w:spacing w:before="0" w:after="0" w:line="240" w:lineRule="auto"/>
            </w:pPr>
            <w:r>
              <w:rPr>
                <w:rFonts w:ascii="Calibri" w:hAnsi="Calibri"/>
                <w:b w:val="0"/>
                <w:color w:val="192530"/>
                <w:sz w:val="14"/>
              </w:rPr>
              <w:t>Review each weekly payroll; periodic site observation and employee interviews.</w:t>
            </w:r>
          </w:p>
        </w:tc>
        <w:tc>
          <w:tcPr>
            <w:tcW w:type="dxa" w:w="2410"/>
            <w:vAlign w:val="center"/>
            <w:tcMar>
              <w:top w:w="100" w:type="dxa"/>
              <w:bottom w:w="100" w:type="dxa"/>
              <w:start w:w="120" w:type="dxa"/>
              <w:end w:w="120" w:type="dxa"/>
            </w:tcMar>
          </w:tcPr>
          <w:p>
            <w:pPr>
              <w:spacing w:before="0" w:after="0" w:line="240" w:lineRule="auto"/>
            </w:pPr>
            <w:r>
              <w:rPr>
                <w:rFonts w:ascii="Calibri" w:hAnsi="Calibri"/>
                <w:b w:val="0"/>
                <w:color w:val="192530"/>
                <w:sz w:val="14"/>
              </w:rPr>
              <w:t>Payroll, interview, daily report, discrepancy record. Refer suspected underpayment or falsification to CO.</w:t>
            </w:r>
          </w:p>
        </w:tc>
      </w:tr>
      <w:tr>
        <w:tc>
          <w:tcPr>
            <w:tcW w:type="dxa" w:w="1800"/>
            <w:vAlign w:val="center"/>
            <w:tcMar>
              <w:top w:w="100" w:type="dxa"/>
              <w:bottom w:w="100" w:type="dxa"/>
              <w:start w:w="120" w:type="dxa"/>
              <w:end w:w="120" w:type="dxa"/>
            </w:tcMar>
          </w:tcPr>
          <w:p>
            <w:pPr>
              <w:spacing w:before="0" w:after="0" w:line="240" w:lineRule="auto"/>
            </w:pPr>
            <w:r>
              <w:rPr>
                <w:rFonts w:ascii="Calibri" w:hAnsi="Calibri"/>
                <w:b w:val="0"/>
                <w:color w:val="192530"/>
                <w:sz w:val="14"/>
              </w:rPr>
              <w:t>Invoice support</w:t>
            </w:r>
          </w:p>
        </w:tc>
        <w:tc>
          <w:tcPr>
            <w:tcW w:type="dxa" w:w="2950"/>
            <w:vAlign w:val="center"/>
            <w:tcMar>
              <w:top w:w="100" w:type="dxa"/>
              <w:bottom w:w="100" w:type="dxa"/>
              <w:start w:w="120" w:type="dxa"/>
              <w:end w:w="120" w:type="dxa"/>
            </w:tcMar>
          </w:tcPr>
          <w:p>
            <w:pPr>
              <w:spacing w:before="0" w:after="0" w:line="240" w:lineRule="auto"/>
            </w:pPr>
            <w:r>
              <w:rPr>
                <w:rFonts w:ascii="Calibri" w:hAnsi="Calibri"/>
                <w:b w:val="0"/>
                <w:color w:val="192530"/>
                <w:sz w:val="14"/>
              </w:rPr>
              <w:t>Payment requests reflect acceptable work accomplished and authorized qualifying materials or preparatory work without duplication.</w:t>
            </w:r>
          </w:p>
        </w:tc>
        <w:tc>
          <w:tcPr>
            <w:tcW w:type="dxa" w:w="2200"/>
            <w:vAlign w:val="center"/>
            <w:tcMar>
              <w:top w:w="100" w:type="dxa"/>
              <w:bottom w:w="100" w:type="dxa"/>
              <w:start w:w="120" w:type="dxa"/>
              <w:end w:w="120" w:type="dxa"/>
            </w:tcMar>
          </w:tcPr>
          <w:p>
            <w:pPr>
              <w:spacing w:before="0" w:after="0" w:line="240" w:lineRule="auto"/>
            </w:pPr>
            <w:r>
              <w:rPr>
                <w:rFonts w:ascii="Calibri" w:hAnsi="Calibri"/>
                <w:b w:val="0"/>
                <w:color w:val="192530"/>
                <w:sz w:val="14"/>
              </w:rPr>
              <w:t>Compare request to accepted schedule, field record, and support monthly.</w:t>
            </w:r>
          </w:p>
        </w:tc>
        <w:tc>
          <w:tcPr>
            <w:tcW w:type="dxa" w:w="2410"/>
            <w:vAlign w:val="center"/>
            <w:tcMar>
              <w:top w:w="100" w:type="dxa"/>
              <w:bottom w:w="100" w:type="dxa"/>
              <w:start w:w="120" w:type="dxa"/>
              <w:end w:w="120" w:type="dxa"/>
            </w:tcMar>
          </w:tcPr>
          <w:p>
            <w:pPr>
              <w:spacing w:before="0" w:after="0" w:line="240" w:lineRule="auto"/>
            </w:pPr>
            <w:r>
              <w:rPr>
                <w:rFonts w:ascii="Calibri" w:hAnsi="Calibri"/>
                <w:b w:val="0"/>
                <w:color w:val="192530"/>
                <w:sz w:val="14"/>
              </w:rPr>
              <w:t>Measurements, schedule of values, invoices, delivery and inventory records, photos; recommend supported amount.</w:t>
            </w:r>
          </w:p>
        </w:tc>
      </w:tr>
      <w:tr>
        <w:tc>
          <w:tcPr>
            <w:tcW w:type="dxa" w:w="1800"/>
            <w:vAlign w:val="center"/>
            <w:tcMar>
              <w:top w:w="100" w:type="dxa"/>
              <w:bottom w:w="100" w:type="dxa"/>
              <w:start w:w="120" w:type="dxa"/>
              <w:end w:w="120" w:type="dxa"/>
            </w:tcMar>
          </w:tcPr>
          <w:p>
            <w:pPr>
              <w:spacing w:before="0" w:after="0" w:line="240" w:lineRule="auto"/>
            </w:pPr>
            <w:r>
              <w:rPr>
                <w:rFonts w:ascii="Calibri" w:hAnsi="Calibri"/>
                <w:b w:val="0"/>
                <w:color w:val="192530"/>
                <w:sz w:val="14"/>
              </w:rPr>
              <w:t>Access and security</w:t>
            </w:r>
          </w:p>
        </w:tc>
        <w:tc>
          <w:tcPr>
            <w:tcW w:type="dxa" w:w="2950"/>
            <w:vAlign w:val="center"/>
            <w:tcMar>
              <w:top w:w="100" w:type="dxa"/>
              <w:bottom w:w="100" w:type="dxa"/>
              <w:start w:w="120" w:type="dxa"/>
              <w:end w:w="120" w:type="dxa"/>
            </w:tcMar>
          </w:tcPr>
          <w:p>
            <w:pPr>
              <w:spacing w:before="0" w:after="0" w:line="240" w:lineRule="auto"/>
            </w:pPr>
            <w:r>
              <w:rPr>
                <w:rFonts w:ascii="Calibri" w:hAnsi="Calibri"/>
                <w:b w:val="0"/>
                <w:color w:val="192530"/>
                <w:sz w:val="14"/>
              </w:rPr>
              <w:t>Approved rosters, escorts, restricted-area controls, and incident reporting are maintained.</w:t>
            </w:r>
          </w:p>
        </w:tc>
        <w:tc>
          <w:tcPr>
            <w:tcW w:type="dxa" w:w="2200"/>
            <w:vAlign w:val="center"/>
            <w:tcMar>
              <w:top w:w="100" w:type="dxa"/>
              <w:bottom w:w="100" w:type="dxa"/>
              <w:start w:w="120" w:type="dxa"/>
              <w:end w:w="120" w:type="dxa"/>
            </w:tcMar>
          </w:tcPr>
          <w:p>
            <w:pPr>
              <w:spacing w:before="0" w:after="0" w:line="240" w:lineRule="auto"/>
            </w:pPr>
            <w:r>
              <w:rPr>
                <w:rFonts w:ascii="Calibri" w:hAnsi="Calibri"/>
                <w:b w:val="0"/>
                <w:color w:val="192530"/>
                <w:sz w:val="14"/>
              </w:rPr>
              <w:t>Observe continuously during visits; review incidents and roster changes as they occur.</w:t>
            </w:r>
          </w:p>
        </w:tc>
        <w:tc>
          <w:tcPr>
            <w:tcW w:type="dxa" w:w="2410"/>
            <w:vAlign w:val="center"/>
            <w:tcMar>
              <w:top w:w="100" w:type="dxa"/>
              <w:bottom w:w="100" w:type="dxa"/>
              <w:start w:w="120" w:type="dxa"/>
              <w:end w:w="120" w:type="dxa"/>
            </w:tcMar>
          </w:tcPr>
          <w:p>
            <w:pPr>
              <w:spacing w:before="0" w:after="0" w:line="240" w:lineRule="auto"/>
            </w:pPr>
            <w:r>
              <w:rPr>
                <w:rFonts w:ascii="Calibri" w:hAnsi="Calibri"/>
                <w:b w:val="0"/>
                <w:color w:val="192530"/>
                <w:sz w:val="14"/>
              </w:rPr>
              <w:t>Access log, roster, incident record. Immediately elevate a loss of required access or security breach.</w:t>
            </w:r>
          </w:p>
        </w:tc>
      </w:tr>
      <w:tr>
        <w:tc>
          <w:tcPr>
            <w:tcW w:type="dxa" w:w="1800"/>
            <w:vAlign w:val="center"/>
            <w:tcMar>
              <w:top w:w="100" w:type="dxa"/>
              <w:bottom w:w="100" w:type="dxa"/>
              <w:start w:w="120" w:type="dxa"/>
              <w:end w:w="120" w:type="dxa"/>
            </w:tcMar>
          </w:tcPr>
          <w:p>
            <w:pPr>
              <w:spacing w:before="0" w:after="0" w:line="240" w:lineRule="auto"/>
            </w:pPr>
            <w:r>
              <w:rPr>
                <w:rFonts w:ascii="Calibri" w:hAnsi="Calibri"/>
                <w:b w:val="0"/>
                <w:color w:val="192530"/>
                <w:sz w:val="14"/>
              </w:rPr>
              <w:t>Potential changes, REAs, and claims</w:t>
            </w:r>
          </w:p>
        </w:tc>
        <w:tc>
          <w:tcPr>
            <w:tcW w:type="dxa" w:w="2950"/>
            <w:vAlign w:val="center"/>
            <w:tcMar>
              <w:top w:w="100" w:type="dxa"/>
              <w:bottom w:w="100" w:type="dxa"/>
              <w:start w:w="120" w:type="dxa"/>
              <w:end w:w="120" w:type="dxa"/>
            </w:tcMar>
          </w:tcPr>
          <w:p>
            <w:pPr>
              <w:spacing w:before="0" w:after="0" w:line="240" w:lineRule="auto"/>
            </w:pPr>
            <w:r>
              <w:rPr>
                <w:rFonts w:ascii="Calibri" w:hAnsi="Calibri"/>
                <w:b w:val="0"/>
                <w:color w:val="192530"/>
                <w:sz w:val="14"/>
              </w:rPr>
              <w:t>Only written CO direction changes the order; potential cost or time effects are preserved and routed promptly.</w:t>
            </w:r>
          </w:p>
        </w:tc>
        <w:tc>
          <w:tcPr>
            <w:tcW w:type="dxa" w:w="2200"/>
            <w:vAlign w:val="center"/>
            <w:tcMar>
              <w:top w:w="100" w:type="dxa"/>
              <w:bottom w:w="100" w:type="dxa"/>
              <w:start w:w="120" w:type="dxa"/>
              <w:end w:w="120" w:type="dxa"/>
            </w:tcMar>
          </w:tcPr>
          <w:p>
            <w:pPr>
              <w:spacing w:before="0" w:after="0" w:line="240" w:lineRule="auto"/>
            </w:pPr>
            <w:r>
              <w:rPr>
                <w:rFonts w:ascii="Calibri" w:hAnsi="Calibri"/>
                <w:b w:val="0"/>
                <w:color w:val="192530"/>
                <w:sz w:val="14"/>
              </w:rPr>
              <w:t>Log when identified; review at least monthly until closed.</w:t>
            </w:r>
          </w:p>
        </w:tc>
        <w:tc>
          <w:tcPr>
            <w:tcW w:type="dxa" w:w="2410"/>
            <w:vAlign w:val="center"/>
            <w:tcMar>
              <w:top w:w="100" w:type="dxa"/>
              <w:bottom w:w="100" w:type="dxa"/>
              <w:start w:w="120" w:type="dxa"/>
              <w:end w:w="120" w:type="dxa"/>
            </w:tcMar>
          </w:tcPr>
          <w:p>
            <w:pPr>
              <w:spacing w:before="0" w:after="0" w:line="240" w:lineRule="auto"/>
            </w:pPr>
            <w:r>
              <w:rPr>
                <w:rFonts w:ascii="Calibri" w:hAnsi="Calibri"/>
                <w:b w:val="0"/>
                <w:color w:val="192530"/>
                <w:sz w:val="14"/>
              </w:rPr>
              <w:t>Correspondence, notice, issue log, supporting facts. Do not direct a cure that changes the contract; refer to CO.</w:t>
            </w:r>
          </w:p>
        </w:tc>
      </w:tr>
    </w:tbl>
    <w:p>
      <w:pPr>
        <w:keepNext/>
        <w:pageBreakBefore/>
        <w:spacing w:before="80" w:after="60"/>
        <w:jc w:val="center"/>
      </w:pPr>
      <w:r>
        <w:rPr>
          <w:rFonts w:ascii="Calibri" w:hAnsi="Calibri"/>
          <w:b/>
          <w:color w:val="192530"/>
          <w:sz w:val="32"/>
        </w:rPr>
        <w:t>DOCUMENTATION, DEFICIENCIES, AND REPORTING</w:t>
      </w:r>
    </w:p>
    <w:p>
      <w:pPr>
        <w:keepNext/>
        <w:spacing w:before="0" w:after="200"/>
        <w:jc w:val="center"/>
      </w:pPr>
      <w:r>
        <w:rPr>
          <w:rFonts w:ascii="Calibri" w:hAnsi="Calibri"/>
          <w:b/>
          <w:color w:val="606A74"/>
          <w:sz w:val="21"/>
        </w:rPr>
        <w:t>FA-27-005 · record discipline and escalation</w:t>
      </w:r>
    </w:p>
    <w:p>
      <w:pPr>
        <w:pStyle w:val="Heading1"/>
        <w:keepNext/>
      </w:pPr>
      <w:r>
        <w:t>4. Performance assessment and deficiency handling</w:t>
      </w:r>
    </w:p>
    <w:p>
      <w:pPr>
        <w:spacing w:before="0" w:after="100" w:line="259" w:lineRule="auto"/>
        <w:ind w:left="504" w:hanging="504"/>
      </w:pPr>
      <w:r>
        <w:rPr>
          <w:rFonts w:ascii="Calibri" w:hAnsi="Calibri"/>
          <w:b/>
          <w:color w:val="192530"/>
          <w:sz w:val="19"/>
        </w:rPr>
        <w:t xml:space="preserve">Observe and verify.  </w:t>
      </w:r>
      <w:r>
        <w:rPr>
          <w:rFonts w:ascii="Calibri" w:hAnsi="Calibri"/>
          <w:color w:val="192530"/>
          <w:sz w:val="19"/>
        </w:rPr>
        <w:t>Record date, location, requirement, persons present, and objective evidence. Distinguish observed facts from conclusions and contractor statements.</w:t>
      </w:r>
    </w:p>
    <w:p>
      <w:pPr>
        <w:spacing w:before="0" w:after="100" w:line="259" w:lineRule="auto"/>
        <w:ind w:left="504" w:hanging="504"/>
      </w:pPr>
      <w:r>
        <w:rPr>
          <w:rFonts w:ascii="Calibri" w:hAnsi="Calibri"/>
          <w:b/>
          <w:color w:val="192530"/>
          <w:sz w:val="19"/>
        </w:rPr>
        <w:t xml:space="preserve">Communicate routine facts.  </w:t>
      </w:r>
      <w:r>
        <w:rPr>
          <w:rFonts w:ascii="Calibri" w:hAnsi="Calibri"/>
          <w:color w:val="192530"/>
          <w:sz w:val="19"/>
        </w:rPr>
        <w:t>Tell the contractor what was observed and cite the applicable requirement without directing a method, added work, or changed result.</w:t>
      </w:r>
    </w:p>
    <w:p>
      <w:pPr>
        <w:spacing w:before="0" w:after="100" w:line="259" w:lineRule="auto"/>
        <w:ind w:left="504" w:hanging="504"/>
      </w:pPr>
      <w:r>
        <w:rPr>
          <w:rFonts w:ascii="Calibri" w:hAnsi="Calibri"/>
          <w:b/>
          <w:color w:val="192530"/>
          <w:sz w:val="19"/>
        </w:rPr>
        <w:t xml:space="preserve">Track correction.  </w:t>
      </w:r>
      <w:r>
        <w:rPr>
          <w:rFonts w:ascii="Calibri" w:hAnsi="Calibri"/>
          <w:color w:val="192530"/>
          <w:sz w:val="19"/>
        </w:rPr>
        <w:t>Record the contractor's proposed corrective action and due date, verify completion, and identify recurrence or broader system risk.</w:t>
      </w:r>
    </w:p>
    <w:p>
      <w:pPr>
        <w:spacing w:before="0" w:after="100" w:line="259" w:lineRule="auto"/>
        <w:ind w:left="504" w:hanging="504"/>
      </w:pPr>
      <w:r>
        <w:rPr>
          <w:rFonts w:ascii="Calibri" w:hAnsi="Calibri"/>
          <w:b/>
          <w:color w:val="192530"/>
          <w:sz w:val="19"/>
        </w:rPr>
        <w:t xml:space="preserve">Escalate appropriately.  </w:t>
      </w:r>
      <w:r>
        <w:rPr>
          <w:rFonts w:ascii="Calibri" w:hAnsi="Calibri"/>
          <w:color w:val="192530"/>
          <w:sz w:val="19"/>
        </w:rPr>
        <w:t>Immediately notify the CO of safety, security, access, fraud indicators, material quality defects, critical delay, threatened nonperformance, disputed direction, potential change, REA, claim, or unsupported payment.</w:t>
      </w:r>
    </w:p>
    <w:p>
      <w:pPr>
        <w:pStyle w:val="Heading1"/>
        <w:keepNext/>
      </w:pPr>
      <w:r>
        <w:t>5. Records and reporting rhythm</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3600"/>
        <w:gridCol w:w="2500"/>
        <w:gridCol w:w="3260"/>
      </w:tblGrid>
      <w:tr>
        <w:tc>
          <w:tcPr>
            <w:tcW w:type="dxa" w:w="3600"/>
            <w:shd w:fill="E8EEF5"/>
            <w:vAlign w:val="center"/>
            <w:tcMar>
              <w:top w:w="100" w:type="dxa"/>
              <w:bottom w:w="100" w:type="dxa"/>
              <w:start w:w="120" w:type="dxa"/>
              <w:end w:w="120" w:type="dxa"/>
            </w:tcMar>
          </w:tcPr>
          <w:p>
            <w:pPr>
              <w:spacing w:before="0" w:after="0" w:line="240" w:lineRule="auto"/>
            </w:pPr>
            <w:r>
              <w:rPr>
                <w:rFonts w:ascii="Calibri" w:hAnsi="Calibri"/>
                <w:b/>
                <w:color w:val="192530"/>
                <w:sz w:val="17"/>
              </w:rPr>
              <w:t>Record</w:t>
            </w:r>
          </w:p>
        </w:tc>
        <w:tc>
          <w:tcPr>
            <w:tcW w:type="dxa" w:w="2500"/>
            <w:shd w:fill="E8EEF5"/>
            <w:vAlign w:val="center"/>
            <w:tcMar>
              <w:top w:w="100" w:type="dxa"/>
              <w:bottom w:w="100" w:type="dxa"/>
              <w:start w:w="120" w:type="dxa"/>
              <w:end w:w="120" w:type="dxa"/>
            </w:tcMar>
          </w:tcPr>
          <w:p>
            <w:pPr>
              <w:spacing w:before="0" w:after="0" w:line="240" w:lineRule="auto"/>
            </w:pPr>
            <w:r>
              <w:rPr>
                <w:rFonts w:ascii="Calibri" w:hAnsi="Calibri"/>
                <w:b/>
                <w:color w:val="192530"/>
                <w:sz w:val="17"/>
              </w:rPr>
              <w:t>Minimum timing</w:t>
            </w:r>
          </w:p>
        </w:tc>
        <w:tc>
          <w:tcPr>
            <w:tcW w:type="dxa" w:w="3260"/>
            <w:shd w:fill="E8EEF5"/>
            <w:vAlign w:val="center"/>
            <w:tcMar>
              <w:top w:w="100" w:type="dxa"/>
              <w:bottom w:w="100" w:type="dxa"/>
              <w:start w:w="120" w:type="dxa"/>
              <w:end w:w="120" w:type="dxa"/>
            </w:tcMar>
          </w:tcPr>
          <w:p>
            <w:pPr>
              <w:spacing w:before="0" w:after="0" w:line="240" w:lineRule="auto"/>
            </w:pPr>
            <w:r>
              <w:rPr>
                <w:rFonts w:ascii="Calibri" w:hAnsi="Calibri"/>
                <w:b/>
                <w:color w:val="192530"/>
                <w:sz w:val="17"/>
              </w:rPr>
              <w:t>Required route</w:t>
            </w:r>
          </w:p>
        </w:tc>
      </w:tr>
      <w:tr>
        <w:tc>
          <w:tcPr>
            <w:tcW w:type="dxa" w:w="3600"/>
            <w:vAlign w:val="center"/>
            <w:tcMar>
              <w:top w:w="100" w:type="dxa"/>
              <w:bottom w:w="100" w:type="dxa"/>
              <w:start w:w="120" w:type="dxa"/>
              <w:end w:w="120" w:type="dxa"/>
            </w:tcMar>
          </w:tcPr>
          <w:p>
            <w:pPr>
              <w:spacing w:before="0" w:after="0" w:line="240" w:lineRule="auto"/>
            </w:pPr>
            <w:r>
              <w:rPr>
                <w:rFonts w:ascii="Calibri" w:hAnsi="Calibri"/>
                <w:b w:val="0"/>
                <w:color w:val="192530"/>
                <w:sz w:val="17"/>
              </w:rPr>
              <w:t>Individual surveillance activity</w:t>
            </w:r>
          </w:p>
        </w:tc>
        <w:tc>
          <w:tcPr>
            <w:tcW w:type="dxa" w:w="2500"/>
            <w:vAlign w:val="center"/>
            <w:tcMar>
              <w:top w:w="100" w:type="dxa"/>
              <w:bottom w:w="100" w:type="dxa"/>
              <w:start w:w="120" w:type="dxa"/>
              <w:end w:w="120" w:type="dxa"/>
            </w:tcMar>
          </w:tcPr>
          <w:p>
            <w:pPr>
              <w:spacing w:before="0" w:after="0" w:line="240" w:lineRule="auto"/>
            </w:pPr>
            <w:r>
              <w:rPr>
                <w:rFonts w:ascii="Calibri" w:hAnsi="Calibri"/>
                <w:b w:val="0"/>
                <w:color w:val="192530"/>
                <w:sz w:val="17"/>
              </w:rPr>
              <w:t>Promptly after the action</w:t>
            </w:r>
          </w:p>
        </w:tc>
        <w:tc>
          <w:tcPr>
            <w:tcW w:type="dxa" w:w="3260"/>
            <w:vAlign w:val="center"/>
            <w:tcMar>
              <w:top w:w="100" w:type="dxa"/>
              <w:bottom w:w="100" w:type="dxa"/>
              <w:start w:w="120" w:type="dxa"/>
              <w:end w:w="120" w:type="dxa"/>
            </w:tcMar>
          </w:tcPr>
          <w:p>
            <w:pPr>
              <w:spacing w:before="0" w:after="0" w:line="240" w:lineRule="auto"/>
            </w:pPr>
            <w:r>
              <w:rPr>
                <w:rFonts w:ascii="Calibri" w:hAnsi="Calibri"/>
                <w:b w:val="0"/>
                <w:color w:val="192530"/>
                <w:sz w:val="17"/>
              </w:rPr>
              <w:t>Official SPM COR file with supporting evidence</w:t>
            </w:r>
          </w:p>
        </w:tc>
      </w:tr>
      <w:tr>
        <w:tc>
          <w:tcPr>
            <w:tcW w:type="dxa" w:w="3600"/>
            <w:vAlign w:val="center"/>
            <w:tcMar>
              <w:top w:w="100" w:type="dxa"/>
              <w:bottom w:w="100" w:type="dxa"/>
              <w:start w:w="120" w:type="dxa"/>
              <w:end w:w="120" w:type="dxa"/>
            </w:tcMar>
          </w:tcPr>
          <w:p>
            <w:pPr>
              <w:spacing w:before="0" w:after="0" w:line="240" w:lineRule="auto"/>
            </w:pPr>
            <w:r>
              <w:rPr>
                <w:rFonts w:ascii="Calibri" w:hAnsi="Calibri"/>
                <w:b w:val="0"/>
                <w:color w:val="192530"/>
                <w:sz w:val="17"/>
              </w:rPr>
              <w:t>Urgent issue notice</w:t>
            </w:r>
          </w:p>
        </w:tc>
        <w:tc>
          <w:tcPr>
            <w:tcW w:type="dxa" w:w="2500"/>
            <w:vAlign w:val="center"/>
            <w:tcMar>
              <w:top w:w="100" w:type="dxa"/>
              <w:bottom w:w="100" w:type="dxa"/>
              <w:start w:w="120" w:type="dxa"/>
              <w:end w:w="120" w:type="dxa"/>
            </w:tcMar>
          </w:tcPr>
          <w:p>
            <w:pPr>
              <w:spacing w:before="0" w:after="0" w:line="240" w:lineRule="auto"/>
            </w:pPr>
            <w:r>
              <w:rPr>
                <w:rFonts w:ascii="Calibri" w:hAnsi="Calibri"/>
                <w:b w:val="0"/>
                <w:color w:val="192530"/>
                <w:sz w:val="17"/>
              </w:rPr>
              <w:t>Immediately; do not wait for month-end</w:t>
            </w:r>
          </w:p>
        </w:tc>
        <w:tc>
          <w:tcPr>
            <w:tcW w:type="dxa" w:w="3260"/>
            <w:vAlign w:val="center"/>
            <w:tcMar>
              <w:top w:w="100" w:type="dxa"/>
              <w:bottom w:w="100" w:type="dxa"/>
              <w:start w:w="120" w:type="dxa"/>
              <w:end w:w="120" w:type="dxa"/>
            </w:tcMar>
          </w:tcPr>
          <w:p>
            <w:pPr>
              <w:spacing w:before="0" w:after="0" w:line="240" w:lineRule="auto"/>
            </w:pPr>
            <w:r>
              <w:rPr>
                <w:rFonts w:ascii="Calibri" w:hAnsi="Calibri"/>
                <w:b w:val="0"/>
                <w:color w:val="192530"/>
                <w:sz w:val="17"/>
              </w:rPr>
              <w:t>CO and COR supervisor; follow with written facts</w:t>
            </w:r>
          </w:p>
        </w:tc>
      </w:tr>
      <w:tr>
        <w:tc>
          <w:tcPr>
            <w:tcW w:type="dxa" w:w="3600"/>
            <w:vAlign w:val="center"/>
            <w:tcMar>
              <w:top w:w="100" w:type="dxa"/>
              <w:bottom w:w="100" w:type="dxa"/>
              <w:start w:w="120" w:type="dxa"/>
              <w:end w:w="120" w:type="dxa"/>
            </w:tcMar>
          </w:tcPr>
          <w:p>
            <w:pPr>
              <w:spacing w:before="0" w:after="0" w:line="240" w:lineRule="auto"/>
            </w:pPr>
            <w:r>
              <w:rPr>
                <w:rFonts w:ascii="Calibri" w:hAnsi="Calibri"/>
                <w:b w:val="0"/>
                <w:color w:val="192530"/>
                <w:sz w:val="17"/>
              </w:rPr>
              <w:t>Monthly surveillance report</w:t>
            </w:r>
          </w:p>
        </w:tc>
        <w:tc>
          <w:tcPr>
            <w:tcW w:type="dxa" w:w="2500"/>
            <w:vAlign w:val="center"/>
            <w:tcMar>
              <w:top w:w="100" w:type="dxa"/>
              <w:bottom w:w="100" w:type="dxa"/>
              <w:start w:w="120" w:type="dxa"/>
              <w:end w:w="120" w:type="dxa"/>
            </w:tcMar>
          </w:tcPr>
          <w:p>
            <w:pPr>
              <w:spacing w:before="0" w:after="0" w:line="240" w:lineRule="auto"/>
            </w:pPr>
            <w:r>
              <w:rPr>
                <w:rFonts w:ascii="Calibri" w:hAnsi="Calibri"/>
                <w:b w:val="0"/>
                <w:color w:val="192530"/>
                <w:sz w:val="17"/>
              </w:rPr>
              <w:t>By fifth workday after each active month</w:t>
            </w:r>
          </w:p>
        </w:tc>
        <w:tc>
          <w:tcPr>
            <w:tcW w:type="dxa" w:w="3260"/>
            <w:vAlign w:val="center"/>
            <w:tcMar>
              <w:top w:w="100" w:type="dxa"/>
              <w:bottom w:w="100" w:type="dxa"/>
              <w:start w:w="120" w:type="dxa"/>
              <w:end w:w="120" w:type="dxa"/>
            </w:tcMar>
          </w:tcPr>
          <w:p>
            <w:pPr>
              <w:spacing w:before="0" w:after="0" w:line="240" w:lineRule="auto"/>
            </w:pPr>
            <w:r>
              <w:rPr>
                <w:rFonts w:ascii="Calibri" w:hAnsi="Calibri"/>
                <w:b w:val="0"/>
                <w:color w:val="192530"/>
                <w:sz w:val="17"/>
              </w:rPr>
              <w:t>SPM; completion notice to CO</w:t>
            </w:r>
          </w:p>
        </w:tc>
      </w:tr>
      <w:tr>
        <w:tc>
          <w:tcPr>
            <w:tcW w:type="dxa" w:w="3600"/>
            <w:vAlign w:val="center"/>
            <w:tcMar>
              <w:top w:w="100" w:type="dxa"/>
              <w:bottom w:w="100" w:type="dxa"/>
              <w:start w:w="120" w:type="dxa"/>
              <w:end w:w="120" w:type="dxa"/>
            </w:tcMar>
          </w:tcPr>
          <w:p>
            <w:pPr>
              <w:spacing w:before="0" w:after="0" w:line="240" w:lineRule="auto"/>
            </w:pPr>
            <w:r>
              <w:rPr>
                <w:rFonts w:ascii="Calibri" w:hAnsi="Calibri"/>
                <w:b w:val="0"/>
                <w:color w:val="192530"/>
                <w:sz w:val="17"/>
              </w:rPr>
              <w:t>COR transition / closeout</w:t>
            </w:r>
          </w:p>
        </w:tc>
        <w:tc>
          <w:tcPr>
            <w:tcW w:type="dxa" w:w="2500"/>
            <w:vAlign w:val="center"/>
            <w:tcMar>
              <w:top w:w="100" w:type="dxa"/>
              <w:bottom w:w="100" w:type="dxa"/>
              <w:start w:w="120" w:type="dxa"/>
              <w:end w:w="120" w:type="dxa"/>
            </w:tcMar>
          </w:tcPr>
          <w:p>
            <w:pPr>
              <w:spacing w:before="0" w:after="0" w:line="240" w:lineRule="auto"/>
            </w:pPr>
            <w:r>
              <w:rPr>
                <w:rFonts w:ascii="Calibri" w:hAnsi="Calibri"/>
                <w:b w:val="0"/>
                <w:color w:val="192530"/>
                <w:sz w:val="17"/>
              </w:rPr>
              <w:t>At replacement, termination, or final turnover</w:t>
            </w:r>
          </w:p>
        </w:tc>
        <w:tc>
          <w:tcPr>
            <w:tcW w:type="dxa" w:w="3260"/>
            <w:vAlign w:val="center"/>
            <w:tcMar>
              <w:top w:w="100" w:type="dxa"/>
              <w:bottom w:w="100" w:type="dxa"/>
              <w:start w:w="120" w:type="dxa"/>
              <w:end w:w="120" w:type="dxa"/>
            </w:tcMar>
          </w:tcPr>
          <w:p>
            <w:pPr>
              <w:spacing w:before="0" w:after="0" w:line="240" w:lineRule="auto"/>
            </w:pPr>
            <w:r>
              <w:rPr>
                <w:rFonts w:ascii="Calibri" w:hAnsi="Calibri"/>
                <w:b w:val="0"/>
                <w:color w:val="192530"/>
                <w:sz w:val="17"/>
              </w:rPr>
              <w:t>CO-directed transfer of complete official record</w:t>
            </w:r>
          </w:p>
        </w:tc>
      </w:tr>
    </w:tbl>
    <w:p>
      <w:pPr>
        <w:keepLines/>
        <w:spacing w:before="0" w:after="160" w:line="264" w:lineRule="auto"/>
        <w:ind w:left="0"/>
      </w:pPr>
      <w:r>
        <w:rPr>
          <w:rFonts w:ascii="Calibri" w:hAnsi="Calibri"/>
          <w:color w:val="192530"/>
          <w:sz w:val="22"/>
        </w:rPr>
        <w:t>The monthly report will rate each objective as acceptable, needs attention, or unacceptable and will state the facts supporting the assessment, open deficiencies, corrective-action status, current schedule, Government-action aging, invoice support, potential changes, and next-month risks. An acceptable rating does not constitute contractual acceptance of unfinished or uninspected work.</w:t>
      </w:r>
    </w:p>
    <w:p>
      <w:pPr>
        <w:pStyle w:val="Heading1"/>
        <w:keepNext/>
      </w:pPr>
      <w:r>
        <w:t>6. Approval and acknowledgement</w:t>
      </w:r>
    </w:p>
    <w:tbl>
      <w:tblPr>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1600"/>
        <w:gridCol w:w="4160"/>
        <w:gridCol w:w="3600"/>
      </w:tblGrid>
      <w:tr>
        <w:tc>
          <w:tcPr>
            <w:tcW w:type="dxa" w:w="1600"/>
            <w:vAlign w:val="center"/>
            <w:tcMar>
              <w:top w:w="100" w:type="dxa"/>
              <w:bottom w:w="100" w:type="dxa"/>
              <w:start w:w="120" w:type="dxa"/>
              <w:end w:w="120" w:type="dxa"/>
            </w:tcMar>
          </w:tcPr>
          <w:p>
            <w:pPr>
              <w:spacing w:before="0" w:after="0" w:line="240" w:lineRule="auto"/>
            </w:pPr>
            <w:r>
              <w:rPr>
                <w:rFonts w:ascii="Calibri" w:hAnsi="Calibri"/>
                <w:color w:val="192530"/>
                <w:sz w:val="20"/>
              </w:rPr>
              <w:t>Date</w:t>
              <w:br/>
              <w:t>10 Mar 2027</w:t>
              <w:br/>
            </w:r>
          </w:p>
        </w:tc>
        <w:tc>
          <w:tcPr>
            <w:tcW w:type="dxa" w:w="4160"/>
            <w:vAlign w:val="center"/>
            <w:tcMar>
              <w:top w:w="100" w:type="dxa"/>
              <w:bottom w:w="100" w:type="dxa"/>
              <w:start w:w="120" w:type="dxa"/>
              <w:end w:w="120" w:type="dxa"/>
            </w:tcMar>
          </w:tcPr>
          <w:p>
            <w:pPr>
              <w:spacing w:before="0" w:after="0" w:line="240" w:lineRule="auto"/>
            </w:pPr>
            <w:r>
              <w:rPr>
                <w:rFonts w:ascii="Calibri" w:hAnsi="Calibri"/>
                <w:color w:val="192530"/>
                <w:sz w:val="20"/>
              </w:rPr>
              <w:t>Contracting Officer</w:t>
              <w:br/>
              <w:t>Maj Emma Emmerich, 713 CONS</w:t>
              <w:br/>
            </w:r>
          </w:p>
        </w:tc>
        <w:tc>
          <w:tcPr>
            <w:tcW w:type="dxa" w:w="3600"/>
            <w:vAlign w:val="center"/>
            <w:tcMar>
              <w:top w:w="100" w:type="dxa"/>
              <w:bottom w:w="100" w:type="dxa"/>
              <w:start w:w="120" w:type="dxa"/>
              <w:end w:w="120" w:type="dxa"/>
            </w:tcMar>
          </w:tcPr>
          <w:p>
            <w:pPr>
              <w:spacing w:before="0" w:after="0" w:line="240" w:lineRule="auto"/>
            </w:pPr>
            <w:r>
              <w:rPr>
                <w:rFonts w:ascii="Calibri" w:hAnsi="Calibri"/>
                <w:color w:val="192530"/>
                <w:sz w:val="20"/>
              </w:rPr>
              <w:t>Signature</w:t>
              <w:br/>
              <w:t>/s/ Emma Emmerich</w:t>
              <w:br/>
            </w:r>
          </w:p>
        </w:tc>
      </w:tr>
      <w:tr>
        <w:tc>
          <w:tcPr>
            <w:tcW w:type="dxa" w:w="1600"/>
            <w:vAlign w:val="center"/>
            <w:tcMar>
              <w:top w:w="100" w:type="dxa"/>
              <w:bottom w:w="100" w:type="dxa"/>
              <w:start w:w="120" w:type="dxa"/>
              <w:end w:w="120" w:type="dxa"/>
            </w:tcMar>
          </w:tcPr>
          <w:p>
            <w:pPr>
              <w:spacing w:before="0" w:after="0" w:line="240" w:lineRule="auto"/>
            </w:pPr>
            <w:r>
              <w:rPr>
                <w:rFonts w:ascii="Calibri" w:hAnsi="Calibri"/>
                <w:color w:val="192530"/>
                <w:sz w:val="20"/>
              </w:rPr>
              <w:t>Date</w:t>
              <w:br/>
              <w:br/>
            </w:r>
          </w:p>
        </w:tc>
        <w:tc>
          <w:tcPr>
            <w:tcW w:type="dxa" w:w="4160"/>
            <w:vAlign w:val="center"/>
            <w:tcMar>
              <w:top w:w="100" w:type="dxa"/>
              <w:bottom w:w="100" w:type="dxa"/>
              <w:start w:w="120" w:type="dxa"/>
              <w:end w:w="120" w:type="dxa"/>
            </w:tcMar>
          </w:tcPr>
          <w:p>
            <w:pPr>
              <w:spacing w:before="0" w:after="0" w:line="240" w:lineRule="auto"/>
            </w:pPr>
            <w:r>
              <w:rPr>
                <w:rFonts w:ascii="Calibri" w:hAnsi="Calibri"/>
                <w:color w:val="192530"/>
                <w:sz w:val="20"/>
              </w:rPr>
              <w:t>Designated COR</w:t>
              <w:br/>
              <w:t>See current written designation</w:t>
              <w:br/>
            </w:r>
          </w:p>
        </w:tc>
        <w:tc>
          <w:tcPr>
            <w:tcW w:type="dxa" w:w="3600"/>
            <w:vAlign w:val="center"/>
            <w:tcMar>
              <w:top w:w="100" w:type="dxa"/>
              <w:bottom w:w="100" w:type="dxa"/>
              <w:start w:w="120" w:type="dxa"/>
              <w:end w:w="120" w:type="dxa"/>
            </w:tcMar>
          </w:tcPr>
          <w:p>
            <w:pPr>
              <w:spacing w:before="0" w:after="0" w:line="240" w:lineRule="auto"/>
            </w:pPr>
            <w:r>
              <w:rPr>
                <w:rFonts w:ascii="Calibri" w:hAnsi="Calibri"/>
                <w:color w:val="192530"/>
                <w:sz w:val="20"/>
              </w:rPr>
              <w:t>Signature</w:t>
              <w:br/>
              <w:br/>
            </w:r>
          </w:p>
        </w:tc>
      </w:tr>
    </w:tbl>
    <w:sectPr w:rsidR="00FC693F" w:rsidRPr="0006063C" w:rsidSect="00034616">
      <w:headerReference w:type="default" r:id="rId9"/>
      <w:footerReference w:type="default" r:id="rId10"/>
      <w:pgSz w:w="12240" w:h="15840"/>
      <w:pgMar w:top="1123" w:right="1440" w:bottom="1037" w:left="144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7"/>
      </w:rPr>
      <w:t xml:space="preserve">I-03  |  QUALITY ASSURANCE SURVEILLANCE PLAN  |  DRAFT  |  Page </w:t>
    </w:r>
    <w:r>
      <w:rPr>
        <w:rFonts w:ascii="Calibri" w:hAnsi="Calibri"/>
        <w:color w:val="606A74"/>
        <w:sz w:val="17"/>
      </w:rPr>
      <w:fldChar w:fldCharType="begin"/>
      <w:instrText xml:space="preserve">PAGE</w:instrText>
      <w:fldChar w:fldCharType="separate"/>
      <w:t>1</w:t>
      <w:fldChar w:fldCharType="end"/>
    </w:r>
    <w:r>
      <w:rPr>
        <w:rFonts w:ascii="Calibri" w:hAnsi="Calibri"/>
        <w:color w:val="606A74"/>
        <w:sz w:val="17"/>
      </w:rPr>
      <w:t xml:space="preserve"> of </w:t>
    </w:r>
    <w:r>
      <w:rPr>
        <w:rFonts w:ascii="Calibri" w:hAnsi="Calibri"/>
        <w:color w:val="606A74"/>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7"/>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925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I-03 Campbell Hall Quality Assurance Surveillance Plan</dc:title>
  <dc:subject>Quality assurance surveillance plan for Task Order FA-27-005</dc:subject>
  <dc:creator>713th Contracting Squadron</dc:creator>
  <cp:keywords>training, construction, COR, QASP, surveillance, Campbell Hall</cp:keywords>
  <dc:description>generated by python-docx</dc:description>
  <cp:lastModifiedBy/>
  <cp:revision>1</cp:revision>
  <dcterms:created xsi:type="dcterms:W3CDTF">2013-12-23T23:15:00Z</dcterms:created>
  <dcterms:modified xsi:type="dcterms:W3CDTF">2013-12-23T23:15:00Z</dcterms:modified>
  <cp:category/>
</cp:coreProperties>
</file>