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EXECUTED TASK ORDER FA-27-005</w:t>
      </w:r>
    </w:p>
    <w:p>
      <w:pPr>
        <w:keepNext/>
        <w:spacing w:before="0" w:after="200"/>
        <w:jc w:val="center"/>
      </w:pPr>
      <w:r>
        <w:rPr>
          <w:rFonts w:ascii="Calibri" w:hAnsi="Calibri"/>
          <w:b/>
          <w:color w:val="606A74"/>
          <w:sz w:val="21"/>
        </w:rPr>
        <w:t>Campbell Hall Phased Headquarters Renovation</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Parent 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 Multiple-Award Construction Contract</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Contractor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Peace Walker Infrastructure Partners,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Order type / amount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Firm-fixed-price · $26,400,000.00</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Award / performance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Awarded 10 Mar 2027 · 22 Mar 2027 through 30 Sep 2028</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Place of performance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Campbell Hall, Shadow Moses Air Field, Alaska</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Accounting</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FY24 Military Construction, Air Force (3300) · fully obligated</w:t>
            </w:r>
          </w:p>
        </w:tc>
      </w:tr>
    </w:tbl>
    <w:p>
      <w:pPr>
        <w:pStyle w:val="Heading1"/>
        <w:keepNext/>
      </w:pPr>
      <w:r>
        <w:t>Ordered work and price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900"/>
        <w:gridCol w:w="6760"/>
        <w:gridCol w:w="1700"/>
      </w:tblGrid>
      <w:tr>
        <w:tc>
          <w:tcPr>
            <w:tcW w:type="dxa" w:w="9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CLIN</w:t>
            </w:r>
          </w:p>
        </w:tc>
        <w:tc>
          <w:tcPr>
            <w:tcW w:type="dxa" w:w="67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Description</w:t>
            </w:r>
          </w:p>
        </w:tc>
        <w:tc>
          <w:tcPr>
            <w:tcW w:type="dxa" w:w="17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Amount</w:t>
            </w:r>
          </w:p>
        </w:tc>
      </w:tr>
      <w:tr>
        <w:tc>
          <w:tcPr>
            <w:tcW w:type="dxa" w:w="900"/>
            <w:vAlign w:val="center"/>
            <w:tcMar>
              <w:top w:w="100" w:type="dxa"/>
              <w:bottom w:w="100" w:type="dxa"/>
              <w:start w:w="120" w:type="dxa"/>
              <w:end w:w="120" w:type="dxa"/>
            </w:tcMar>
          </w:tcPr>
          <w:p>
            <w:pPr>
              <w:spacing w:before="0" w:after="0" w:line="240" w:lineRule="auto"/>
            </w:pPr>
            <w:r>
              <w:rPr>
                <w:rFonts w:ascii="Calibri" w:hAnsi="Calibri"/>
                <w:b w:val="0"/>
                <w:color w:val="192530"/>
                <w:sz w:val="17"/>
              </w:rPr>
              <w:t>0001</w:t>
            </w:r>
          </w:p>
        </w:tc>
        <w:tc>
          <w:tcPr>
            <w:tcW w:type="dxa" w:w="6760"/>
            <w:vAlign w:val="center"/>
            <w:tcMar>
              <w:top w:w="100" w:type="dxa"/>
              <w:bottom w:w="100" w:type="dxa"/>
              <w:start w:w="120" w:type="dxa"/>
              <w:end w:w="120" w:type="dxa"/>
            </w:tcMar>
          </w:tcPr>
          <w:p>
            <w:pPr>
              <w:spacing w:before="0" w:after="0" w:line="240" w:lineRule="auto"/>
            </w:pPr>
            <w:r>
              <w:rPr>
                <w:rFonts w:ascii="Calibri" w:hAnsi="Calibri"/>
                <w:b w:val="0"/>
                <w:color w:val="192530"/>
                <w:sz w:val="17"/>
              </w:rPr>
              <w:t>Design completion, phasing plan, and construction submittals</w:t>
            </w:r>
          </w:p>
        </w:tc>
        <w:tc>
          <w:tcPr>
            <w:tcW w:type="dxa" w:w="1700"/>
            <w:vAlign w:val="center"/>
            <w:tcMar>
              <w:top w:w="100" w:type="dxa"/>
              <w:bottom w:w="100" w:type="dxa"/>
              <w:start w:w="120" w:type="dxa"/>
              <w:end w:w="120" w:type="dxa"/>
            </w:tcMar>
          </w:tcPr>
          <w:p>
            <w:pPr>
              <w:spacing w:before="0" w:after="0" w:line="240" w:lineRule="auto"/>
            </w:pPr>
            <w:r>
              <w:rPr>
                <w:rFonts w:ascii="Calibri" w:hAnsi="Calibri"/>
                <w:b w:val="0"/>
                <w:color w:val="192530"/>
                <w:sz w:val="17"/>
              </w:rPr>
              <w:t>$1,850,000</w:t>
            </w:r>
          </w:p>
        </w:tc>
      </w:tr>
      <w:tr>
        <w:tc>
          <w:tcPr>
            <w:tcW w:type="dxa" w:w="900"/>
            <w:vAlign w:val="center"/>
            <w:tcMar>
              <w:top w:w="100" w:type="dxa"/>
              <w:bottom w:w="100" w:type="dxa"/>
              <w:start w:w="120" w:type="dxa"/>
              <w:end w:w="120" w:type="dxa"/>
            </w:tcMar>
          </w:tcPr>
          <w:p>
            <w:pPr>
              <w:spacing w:before="0" w:after="0" w:line="240" w:lineRule="auto"/>
            </w:pPr>
            <w:r>
              <w:rPr>
                <w:rFonts w:ascii="Calibri" w:hAnsi="Calibri"/>
                <w:b w:val="0"/>
                <w:color w:val="192530"/>
                <w:sz w:val="17"/>
              </w:rPr>
              <w:t>0002</w:t>
            </w:r>
          </w:p>
        </w:tc>
        <w:tc>
          <w:tcPr>
            <w:tcW w:type="dxa" w:w="6760"/>
            <w:vAlign w:val="center"/>
            <w:tcMar>
              <w:top w:w="100" w:type="dxa"/>
              <w:bottom w:w="100" w:type="dxa"/>
              <w:start w:w="120" w:type="dxa"/>
              <w:end w:w="120" w:type="dxa"/>
            </w:tcMar>
          </w:tcPr>
          <w:p>
            <w:pPr>
              <w:spacing w:before="0" w:after="0" w:line="240" w:lineRule="auto"/>
            </w:pPr>
            <w:r>
              <w:rPr>
                <w:rFonts w:ascii="Calibri" w:hAnsi="Calibri"/>
                <w:b w:val="0"/>
                <w:color w:val="192530"/>
                <w:sz w:val="17"/>
              </w:rPr>
              <w:t>Selective demolition, hazardous-material controls, and temporary protection</w:t>
            </w:r>
          </w:p>
        </w:tc>
        <w:tc>
          <w:tcPr>
            <w:tcW w:type="dxa" w:w="1700"/>
            <w:vAlign w:val="center"/>
            <w:tcMar>
              <w:top w:w="100" w:type="dxa"/>
              <w:bottom w:w="100" w:type="dxa"/>
              <w:start w:w="120" w:type="dxa"/>
              <w:end w:w="120" w:type="dxa"/>
            </w:tcMar>
          </w:tcPr>
          <w:p>
            <w:pPr>
              <w:spacing w:before="0" w:after="0" w:line="240" w:lineRule="auto"/>
            </w:pPr>
            <w:r>
              <w:rPr>
                <w:rFonts w:ascii="Calibri" w:hAnsi="Calibri"/>
                <w:b w:val="0"/>
                <w:color w:val="192530"/>
                <w:sz w:val="17"/>
              </w:rPr>
              <w:t>$3,200,000</w:t>
            </w:r>
          </w:p>
        </w:tc>
      </w:tr>
      <w:tr>
        <w:tc>
          <w:tcPr>
            <w:tcW w:type="dxa" w:w="900"/>
            <w:vAlign w:val="center"/>
            <w:tcMar>
              <w:top w:w="100" w:type="dxa"/>
              <w:bottom w:w="100" w:type="dxa"/>
              <w:start w:w="120" w:type="dxa"/>
              <w:end w:w="120" w:type="dxa"/>
            </w:tcMar>
          </w:tcPr>
          <w:p>
            <w:pPr>
              <w:spacing w:before="0" w:after="0" w:line="240" w:lineRule="auto"/>
            </w:pPr>
            <w:r>
              <w:rPr>
                <w:rFonts w:ascii="Calibri" w:hAnsi="Calibri"/>
                <w:b w:val="0"/>
                <w:color w:val="192530"/>
                <w:sz w:val="17"/>
              </w:rPr>
              <w:t>0003</w:t>
            </w:r>
          </w:p>
        </w:tc>
        <w:tc>
          <w:tcPr>
            <w:tcW w:type="dxa" w:w="6760"/>
            <w:vAlign w:val="center"/>
            <w:tcMar>
              <w:top w:w="100" w:type="dxa"/>
              <w:bottom w:w="100" w:type="dxa"/>
              <w:start w:w="120" w:type="dxa"/>
              <w:end w:w="120" w:type="dxa"/>
            </w:tcMar>
          </w:tcPr>
          <w:p>
            <w:pPr>
              <w:spacing w:before="0" w:after="0" w:line="240" w:lineRule="auto"/>
            </w:pPr>
            <w:r>
              <w:rPr>
                <w:rFonts w:ascii="Calibri" w:hAnsi="Calibri"/>
                <w:b w:val="0"/>
                <w:color w:val="192530"/>
                <w:sz w:val="17"/>
              </w:rPr>
              <w:t>Structural, roofing, exterior-envelope, and site renewal</w:t>
            </w:r>
          </w:p>
        </w:tc>
        <w:tc>
          <w:tcPr>
            <w:tcW w:type="dxa" w:w="1700"/>
            <w:vAlign w:val="center"/>
            <w:tcMar>
              <w:top w:w="100" w:type="dxa"/>
              <w:bottom w:w="100" w:type="dxa"/>
              <w:start w:w="120" w:type="dxa"/>
              <w:end w:w="120" w:type="dxa"/>
            </w:tcMar>
          </w:tcPr>
          <w:p>
            <w:pPr>
              <w:spacing w:before="0" w:after="0" w:line="240" w:lineRule="auto"/>
            </w:pPr>
            <w:r>
              <w:rPr>
                <w:rFonts w:ascii="Calibri" w:hAnsi="Calibri"/>
                <w:b w:val="0"/>
                <w:color w:val="192530"/>
                <w:sz w:val="17"/>
              </w:rPr>
              <w:t>$6,150,000</w:t>
            </w:r>
          </w:p>
        </w:tc>
      </w:tr>
      <w:tr>
        <w:tc>
          <w:tcPr>
            <w:tcW w:type="dxa" w:w="900"/>
            <w:vAlign w:val="center"/>
            <w:tcMar>
              <w:top w:w="100" w:type="dxa"/>
              <w:bottom w:w="100" w:type="dxa"/>
              <w:start w:w="120" w:type="dxa"/>
              <w:end w:w="120" w:type="dxa"/>
            </w:tcMar>
          </w:tcPr>
          <w:p>
            <w:pPr>
              <w:spacing w:before="0" w:after="0" w:line="240" w:lineRule="auto"/>
            </w:pPr>
            <w:r>
              <w:rPr>
                <w:rFonts w:ascii="Calibri" w:hAnsi="Calibri"/>
                <w:b w:val="0"/>
                <w:color w:val="192530"/>
                <w:sz w:val="17"/>
              </w:rPr>
              <w:t>0004</w:t>
            </w:r>
          </w:p>
        </w:tc>
        <w:tc>
          <w:tcPr>
            <w:tcW w:type="dxa" w:w="6760"/>
            <w:vAlign w:val="center"/>
            <w:tcMar>
              <w:top w:w="100" w:type="dxa"/>
              <w:bottom w:w="100" w:type="dxa"/>
              <w:start w:w="120" w:type="dxa"/>
              <w:end w:w="120" w:type="dxa"/>
            </w:tcMar>
          </w:tcPr>
          <w:p>
            <w:pPr>
              <w:spacing w:before="0" w:after="0" w:line="240" w:lineRule="auto"/>
            </w:pPr>
            <w:r>
              <w:rPr>
                <w:rFonts w:ascii="Calibri" w:hAnsi="Calibri"/>
                <w:b w:val="0"/>
                <w:color w:val="192530"/>
                <w:sz w:val="17"/>
              </w:rPr>
              <w:t>Electrical, mechanical, fire-protection, backup-power, and communications pathways</w:t>
            </w:r>
          </w:p>
        </w:tc>
        <w:tc>
          <w:tcPr>
            <w:tcW w:type="dxa" w:w="1700"/>
            <w:vAlign w:val="center"/>
            <w:tcMar>
              <w:top w:w="100" w:type="dxa"/>
              <w:bottom w:w="100" w:type="dxa"/>
              <w:start w:w="120" w:type="dxa"/>
              <w:end w:w="120" w:type="dxa"/>
            </w:tcMar>
          </w:tcPr>
          <w:p>
            <w:pPr>
              <w:spacing w:before="0" w:after="0" w:line="240" w:lineRule="auto"/>
            </w:pPr>
            <w:r>
              <w:rPr>
                <w:rFonts w:ascii="Calibri" w:hAnsi="Calibri"/>
                <w:b w:val="0"/>
                <w:color w:val="192530"/>
                <w:sz w:val="17"/>
              </w:rPr>
              <w:t>$8,400,000</w:t>
            </w:r>
          </w:p>
        </w:tc>
      </w:tr>
      <w:tr>
        <w:tc>
          <w:tcPr>
            <w:tcW w:type="dxa" w:w="900"/>
            <w:vAlign w:val="center"/>
            <w:tcMar>
              <w:top w:w="100" w:type="dxa"/>
              <w:bottom w:w="100" w:type="dxa"/>
              <w:start w:w="120" w:type="dxa"/>
              <w:end w:w="120" w:type="dxa"/>
            </w:tcMar>
          </w:tcPr>
          <w:p>
            <w:pPr>
              <w:spacing w:before="0" w:after="0" w:line="240" w:lineRule="auto"/>
            </w:pPr>
            <w:r>
              <w:rPr>
                <w:rFonts w:ascii="Calibri" w:hAnsi="Calibri"/>
                <w:b w:val="0"/>
                <w:color w:val="192530"/>
                <w:sz w:val="17"/>
              </w:rPr>
              <w:t>0005</w:t>
            </w:r>
          </w:p>
        </w:tc>
        <w:tc>
          <w:tcPr>
            <w:tcW w:type="dxa" w:w="6760"/>
            <w:vAlign w:val="center"/>
            <w:tcMar>
              <w:top w:w="100" w:type="dxa"/>
              <w:bottom w:w="100" w:type="dxa"/>
              <w:start w:w="120" w:type="dxa"/>
              <w:end w:w="120" w:type="dxa"/>
            </w:tcMar>
          </w:tcPr>
          <w:p>
            <w:pPr>
              <w:spacing w:before="0" w:after="0" w:line="240" w:lineRule="auto"/>
            </w:pPr>
            <w:r>
              <w:rPr>
                <w:rFonts w:ascii="Calibri" w:hAnsi="Calibri"/>
                <w:b w:val="0"/>
                <w:color w:val="192530"/>
                <w:sz w:val="17"/>
              </w:rPr>
              <w:t>Interior mission spaces, security integration, testing, training, and closeout</w:t>
            </w:r>
          </w:p>
        </w:tc>
        <w:tc>
          <w:tcPr>
            <w:tcW w:type="dxa" w:w="1700"/>
            <w:vAlign w:val="center"/>
            <w:tcMar>
              <w:top w:w="100" w:type="dxa"/>
              <w:bottom w:w="100" w:type="dxa"/>
              <w:start w:w="120" w:type="dxa"/>
              <w:end w:w="120" w:type="dxa"/>
            </w:tcMar>
          </w:tcPr>
          <w:p>
            <w:pPr>
              <w:spacing w:before="0" w:after="0" w:line="240" w:lineRule="auto"/>
            </w:pPr>
            <w:r>
              <w:rPr>
                <w:rFonts w:ascii="Calibri" w:hAnsi="Calibri"/>
                <w:b w:val="0"/>
                <w:color w:val="192530"/>
                <w:sz w:val="17"/>
              </w:rPr>
              <w:t>$6,800,000</w:t>
            </w:r>
          </w:p>
        </w:tc>
      </w:tr>
      <w:tr>
        <w:tc>
          <w:tcPr>
            <w:tcW w:type="dxa" w:w="900"/>
            <w:vAlign w:val="center"/>
            <w:tcMar>
              <w:top w:w="100" w:type="dxa"/>
              <w:bottom w:w="100" w:type="dxa"/>
              <w:start w:w="120" w:type="dxa"/>
              <w:end w:w="120" w:type="dxa"/>
            </w:tcMar>
          </w:tcPr>
          <w:p>
            <w:pPr>
              <w:spacing w:before="0" w:after="0" w:line="240" w:lineRule="auto"/>
            </w:pPr>
            <w:r>
              <w:rPr>
                <w:rFonts w:ascii="Calibri" w:hAnsi="Calibri"/>
                <w:b w:val="0"/>
                <w:color w:val="192530"/>
                <w:sz w:val="17"/>
              </w:rPr>
            </w:r>
          </w:p>
        </w:tc>
        <w:tc>
          <w:tcPr>
            <w:tcW w:type="dxa" w:w="6760"/>
            <w:vAlign w:val="center"/>
            <w:tcMar>
              <w:top w:w="100" w:type="dxa"/>
              <w:bottom w:w="100" w:type="dxa"/>
              <w:start w:w="120" w:type="dxa"/>
              <w:end w:w="120" w:type="dxa"/>
            </w:tcMar>
          </w:tcPr>
          <w:p>
            <w:pPr>
              <w:spacing w:before="0" w:after="0" w:line="240" w:lineRule="auto"/>
            </w:pPr>
            <w:r>
              <w:rPr>
                <w:rFonts w:ascii="Calibri" w:hAnsi="Calibri"/>
                <w:b w:val="0"/>
                <w:color w:val="192530"/>
                <w:sz w:val="17"/>
              </w:rPr>
              <w:t>TOTAL FIRM-FIXED PRICE</w:t>
            </w:r>
          </w:p>
        </w:tc>
        <w:tc>
          <w:tcPr>
            <w:tcW w:type="dxa" w:w="1700"/>
            <w:vAlign w:val="center"/>
            <w:tcMar>
              <w:top w:w="100" w:type="dxa"/>
              <w:bottom w:w="100" w:type="dxa"/>
              <w:start w:w="120" w:type="dxa"/>
              <w:end w:w="120" w:type="dxa"/>
            </w:tcMar>
          </w:tcPr>
          <w:p>
            <w:pPr>
              <w:spacing w:before="0" w:after="0" w:line="240" w:lineRule="auto"/>
            </w:pPr>
            <w:r>
              <w:rPr>
                <w:rFonts w:ascii="Calibri" w:hAnsi="Calibri"/>
                <w:b w:val="0"/>
                <w:color w:val="192530"/>
                <w:sz w:val="17"/>
              </w:rPr>
              <w:t>$26,400,000</w:t>
            </w:r>
          </w:p>
        </w:tc>
      </w:tr>
    </w:tbl>
    <w:p>
      <w:pPr>
        <w:pStyle w:val="Heading1"/>
        <w:keepNext/>
      </w:pPr>
      <w:r>
        <w:t>Award and acceptance</w:t>
      </w:r>
    </w:p>
    <w:p>
      <w:pPr>
        <w:keepLines/>
        <w:spacing w:before="0" w:after="160" w:line="264" w:lineRule="auto"/>
        <w:ind w:left="0"/>
      </w:pPr>
      <w:r>
        <w:rPr>
          <w:rFonts w:ascii="Calibri" w:hAnsi="Calibri"/>
          <w:color w:val="192530"/>
          <w:sz w:val="22"/>
        </w:rPr>
        <w:t>The contractor shall furnish all design completion, labor, material, equipment, supervision, quality control, testing, and closeout required by this order and its incorporated scope, drawings, specifications, schedule, wage determination, and clauses. The order is effective on the award date; performance begins on the stated notice-to-proceed date.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4680"/>
        <w:gridCol w:w="4680"/>
      </w:tblGrid>
      <w:tr>
        <w:tc>
          <w:tcPr>
            <w:tcW w:type="dxa" w:w="4680"/>
            <w:shd w:fill="E8EEF5"/>
            <w:vAlign w:val="center"/>
            <w:tcMar>
              <w:top w:w="100" w:type="dxa"/>
              <w:bottom w:w="100" w:type="dxa"/>
              <w:start w:w="120" w:type="dxa"/>
              <w:end w:w="120" w:type="dxa"/>
            </w:tcMar>
          </w:tcPr>
          <w:p>
            <w:pPr>
              <w:spacing w:before="0" w:after="0" w:line="240" w:lineRule="auto"/>
            </w:pPr>
            <w:r>
              <w:rPr>
                <w:rFonts w:ascii="Calibri" w:hAnsi="Calibri"/>
                <w:b/>
                <w:color w:val="192530"/>
                <w:sz w:val="18"/>
              </w:rPr>
              <w:t>For the Government</w:t>
            </w:r>
          </w:p>
        </w:tc>
        <w:tc>
          <w:tcPr>
            <w:tcW w:type="dxa" w:w="4680"/>
            <w:shd w:fill="E8EEF5"/>
            <w:vAlign w:val="center"/>
            <w:tcMar>
              <w:top w:w="100" w:type="dxa"/>
              <w:bottom w:w="100" w:type="dxa"/>
              <w:start w:w="120" w:type="dxa"/>
              <w:end w:w="120" w:type="dxa"/>
            </w:tcMar>
          </w:tcPr>
          <w:p>
            <w:pPr>
              <w:spacing w:before="0" w:after="0" w:line="240" w:lineRule="auto"/>
            </w:pPr>
            <w:r>
              <w:rPr>
                <w:rFonts w:ascii="Calibri" w:hAnsi="Calibri"/>
                <w:b/>
                <w:color w:val="192530"/>
                <w:sz w:val="18"/>
              </w:rPr>
              <w:t>For the contractor</w:t>
            </w:r>
          </w:p>
        </w:tc>
      </w:tr>
      <w:tr>
        <w:tc>
          <w:tcPr>
            <w:tcW w:type="dxa" w:w="4680"/>
            <w:vAlign w:val="center"/>
            <w:tcMar>
              <w:top w:w="100" w:type="dxa"/>
              <w:bottom w:w="100" w:type="dxa"/>
              <w:start w:w="120" w:type="dxa"/>
              <w:end w:w="120" w:type="dxa"/>
            </w:tcMar>
          </w:tcPr>
          <w:p>
            <w:pPr>
              <w:spacing w:before="0" w:after="0" w:line="240" w:lineRule="auto"/>
            </w:pPr>
            <w:r>
              <w:rPr>
                <w:rFonts w:ascii="Calibri" w:hAnsi="Calibri"/>
                <w:b w:val="0"/>
                <w:color w:val="192530"/>
                <w:sz w:val="18"/>
              </w:rPr>
              <w:t>/s/ Emma Emmerich</w:t>
              <w:br/>
              <w:t>Maj Emma Emmerich, USAF</w:t>
              <w:br/>
              <w:t>Contracting Officer, 713 CONS</w:t>
              <w:br/>
              <w:t>10 Mar 2027</w:t>
            </w:r>
          </w:p>
        </w:tc>
        <w:tc>
          <w:tcPr>
            <w:tcW w:type="dxa" w:w="4680"/>
            <w:vAlign w:val="center"/>
            <w:tcMar>
              <w:top w:w="100" w:type="dxa"/>
              <w:bottom w:w="100" w:type="dxa"/>
              <w:start w:w="120" w:type="dxa"/>
              <w:end w:w="120" w:type="dxa"/>
            </w:tcMar>
          </w:tcPr>
          <w:p>
            <w:pPr>
              <w:spacing w:before="0" w:after="0" w:line="240" w:lineRule="auto"/>
            </w:pPr>
            <w:r>
              <w:rPr>
                <w:rFonts w:ascii="Calibri" w:hAnsi="Calibri"/>
                <w:b w:val="0"/>
                <w:color w:val="192530"/>
                <w:sz w:val="18"/>
              </w:rPr>
              <w:t>/s/ Hot Coldman</w:t>
              <w:br/>
              <w:t>Hot Coldman</w:t>
              <w:br/>
              <w:t>President, Peace Walker Infrastructure Partners, LLC</w:t>
              <w:br/>
              <w:t>10 Mar 2027</w:t>
            </w:r>
          </w:p>
        </w:tc>
      </w:tr>
    </w:tbl>
    <w:p>
      <w:pPr>
        <w:keepNext/>
        <w:pageBreakBefore/>
        <w:spacing w:before="80" w:after="60"/>
        <w:jc w:val="center"/>
      </w:pPr>
      <w:r>
        <w:rPr>
          <w:rFonts w:ascii="Calibri" w:hAnsi="Calibri"/>
          <w:b/>
          <w:color w:val="192530"/>
          <w:sz w:val="32"/>
        </w:rPr>
        <w:t>ORDER ADMINISTRATION SUMMARY</w:t>
      </w:r>
    </w:p>
    <w:p>
      <w:pPr>
        <w:keepNext/>
        <w:spacing w:before="0" w:after="200"/>
        <w:jc w:val="center"/>
      </w:pPr>
      <w:r>
        <w:rPr>
          <w:rFonts w:ascii="Calibri" w:hAnsi="Calibri"/>
          <w:b/>
          <w:color w:val="606A74"/>
          <w:sz w:val="21"/>
        </w:rPr>
        <w:t>FA-27-005 · controlling task-order information</w:t>
      </w:r>
    </w:p>
    <w:p>
      <w:pPr>
        <w:pStyle w:val="Heading1"/>
        <w:keepNext/>
      </w:pPr>
      <w:r>
        <w:t>Performance requirements</w:t>
      </w:r>
    </w:p>
    <w:p>
      <w:pPr>
        <w:keepLines/>
        <w:spacing w:before="0" w:after="80" w:line="264" w:lineRule="auto"/>
        <w:numPr>
          <w:ilvl w:val="0"/>
          <w:numId w:val="10"/>
        </w:numPr>
      </w:pPr>
      <w:r>
        <w:rPr>
          <w:rFonts w:ascii="Calibri" w:hAnsi="Calibri"/>
          <w:color w:val="192530"/>
          <w:sz w:val="22"/>
        </w:rPr>
        <w:t>Maintain the approved occupied-building phasing plan, safe egress, temporary utilities, dust and noise controls, and protection of ongoing headquarters operations.</w:t>
      </w:r>
    </w:p>
    <w:p>
      <w:pPr>
        <w:keepLines/>
        <w:spacing w:before="0" w:after="80" w:line="264" w:lineRule="auto"/>
        <w:numPr>
          <w:ilvl w:val="0"/>
          <w:numId w:val="11"/>
        </w:numPr>
      </w:pPr>
      <w:r>
        <w:rPr>
          <w:rFonts w:ascii="Calibri" w:hAnsi="Calibri"/>
          <w:color w:val="192530"/>
          <w:sz w:val="22"/>
        </w:rPr>
        <w:t>Provide and maintain an acceptable onsite superintendent, quality-control manager, and site safety and health officer whenever construction is in progress.</w:t>
      </w:r>
    </w:p>
    <w:p>
      <w:pPr>
        <w:keepLines/>
        <w:spacing w:before="0" w:after="80" w:line="264" w:lineRule="auto"/>
        <w:numPr>
          <w:ilvl w:val="0"/>
          <w:numId w:val="12"/>
        </w:numPr>
      </w:pPr>
      <w:r>
        <w:rPr>
          <w:rFonts w:ascii="Calibri" w:hAnsi="Calibri"/>
          <w:color w:val="192530"/>
          <w:sz w:val="22"/>
        </w:rPr>
        <w:t>Submit design packages, product data, schedules, quality-control records, safety records, certified payrolls, test reports, commissioning records, and as-built information at the frequencies stated in the order.</w:t>
      </w:r>
    </w:p>
    <w:p>
      <w:pPr>
        <w:keepLines/>
        <w:spacing w:before="0" w:after="80" w:line="264" w:lineRule="auto"/>
        <w:numPr>
          <w:ilvl w:val="0"/>
          <w:numId w:val="13"/>
        </w:numPr>
      </w:pPr>
      <w:r>
        <w:rPr>
          <w:rFonts w:ascii="Calibri" w:hAnsi="Calibri"/>
          <w:color w:val="192530"/>
          <w:sz w:val="22"/>
        </w:rPr>
        <w:t>Coordinate outages, escorts, Government reviews, and access windows through the channels identified in the order. Government coordination does not relieve the contractor of schedule and notice duties.</w:t>
      </w:r>
    </w:p>
    <w:p>
      <w:pPr>
        <w:keepLines/>
        <w:spacing w:before="0" w:after="80" w:line="264" w:lineRule="auto"/>
        <w:numPr>
          <w:ilvl w:val="0"/>
          <w:numId w:val="14"/>
        </w:numPr>
      </w:pPr>
      <w:r>
        <w:rPr>
          <w:rFonts w:ascii="Calibri" w:hAnsi="Calibri"/>
          <w:color w:val="192530"/>
          <w:sz w:val="22"/>
        </w:rPr>
        <w:t>Perform only the work required by the executed order and written modifications. Record potential scope, schedule, or cost effects and promptly present them through the contract-administration process.</w:t>
      </w:r>
    </w:p>
    <w:p>
      <w:pPr>
        <w:pStyle w:val="Heading1"/>
        <w:keepNext/>
      </w:pPr>
      <w:r>
        <w:t>Key incorporated clauses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200"/>
        <w:gridCol w:w="7160"/>
      </w:tblGrid>
      <w:tr>
        <w:tc>
          <w:tcPr>
            <w:tcW w:type="dxa" w:w="22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Clause</w:t>
            </w:r>
          </w:p>
        </w:tc>
        <w:tc>
          <w:tcPr>
            <w:tcW w:type="dxa" w:w="71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Administration subject</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FAR 52.236-3</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Site investigation and conditions affecting the work</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FAR 52.236-6</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Superintendence by the contractor</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FAR 52.236-13</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Accident prevention</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FAR 52.242-14</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Suspension of work</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FAR 52.243-4</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Changes</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FAR 52.249-10</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Default (fixed-price construction)</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DFARS 252.243-7001</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Pricing of contract modifications</w:t>
            </w:r>
          </w:p>
        </w:tc>
      </w:tr>
      <w:tr>
        <w:tc>
          <w:tcPr>
            <w:tcW w:type="dxa" w:w="2200"/>
            <w:vAlign w:val="center"/>
            <w:tcMar>
              <w:top w:w="100" w:type="dxa"/>
              <w:bottom w:w="100" w:type="dxa"/>
              <w:start w:w="120" w:type="dxa"/>
              <w:end w:w="120" w:type="dxa"/>
            </w:tcMar>
          </w:tcPr>
          <w:p>
            <w:pPr>
              <w:spacing w:before="0" w:after="0" w:line="240" w:lineRule="auto"/>
            </w:pPr>
            <w:r>
              <w:rPr>
                <w:rFonts w:ascii="Calibri" w:hAnsi="Calibri"/>
                <w:b w:val="0"/>
                <w:color w:val="192530"/>
                <w:sz w:val="17"/>
              </w:rPr>
              <w:t>DFARS 252.243-7002</w:t>
            </w:r>
          </w:p>
        </w:tc>
        <w:tc>
          <w:tcPr>
            <w:tcW w:type="dxa" w:w="7160"/>
            <w:vAlign w:val="center"/>
            <w:tcMar>
              <w:top w:w="100" w:type="dxa"/>
              <w:bottom w:w="100" w:type="dxa"/>
              <w:start w:w="120" w:type="dxa"/>
              <w:end w:w="120" w:type="dxa"/>
            </w:tcMar>
          </w:tcPr>
          <w:p>
            <w:pPr>
              <w:spacing w:before="0" w:after="0" w:line="240" w:lineRule="auto"/>
            </w:pPr>
            <w:r>
              <w:rPr>
                <w:rFonts w:ascii="Calibri" w:hAnsi="Calibri"/>
                <w:b w:val="0"/>
                <w:color w:val="192530"/>
                <w:sz w:val="17"/>
              </w:rPr>
              <w:t>Requests for equitable adjustment</w:t>
            </w:r>
          </w:p>
        </w:tc>
      </w:tr>
    </w:tbl>
    <w:p>
      <w:pPr>
        <w:pStyle w:val="Heading1"/>
        <w:keepNext/>
      </w:pPr>
      <w:r>
        <w:t>Administration contacts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Contracting Officer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Maj Emma Emmerich, 713th Contracting Squadron (713 CONS)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 Specialist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Nastasha Romanenko, 713 CONS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Requiring activity</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713th Civil Engineering Squadron (713 CES)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COR transition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Sgt Johnny unavailable on medical leave · 1st Lt Jack “Raiden,” 713 CES, proposed replacement</w:t>
            </w:r>
          </w:p>
        </w:tc>
      </w:tr>
    </w:tbl>
    <w:p>
      <w:pPr>
        <w:keepNext/>
        <w:pageBreakBefore/>
        <w:spacing w:before="80" w:after="60"/>
        <w:jc w:val="center"/>
      </w:pPr>
      <w:r>
        <w:rPr>
          <w:rFonts w:ascii="Calibri" w:hAnsi="Calibri"/>
          <w:b/>
          <w:color w:val="192530"/>
          <w:sz w:val="32"/>
        </w:rPr>
        <w:t>COR SURVEILLANCE SUMMARY</w:t>
      </w:r>
    </w:p>
    <w:p>
      <w:pPr>
        <w:keepNext/>
        <w:spacing w:before="0" w:after="200"/>
        <w:jc w:val="center"/>
      </w:pPr>
      <w:r>
        <w:rPr>
          <w:rFonts w:ascii="Calibri" w:hAnsi="Calibri"/>
          <w:b/>
          <w:color w:val="606A74"/>
          <w:sz w:val="21"/>
        </w:rPr>
        <w:t>Type B · Monthly documented surveillance</w:t>
      </w:r>
    </w:p>
    <w:p>
      <w:pPr>
        <w:keepLines/>
        <w:spacing w:before="0" w:after="160" w:line="264" w:lineRule="auto"/>
        <w:ind w:left="0"/>
      </w:pPr>
      <w:r>
        <w:rPr>
          <w:rFonts w:ascii="Calibri" w:hAnsi="Calibri"/>
          <w:color w:val="192530"/>
          <w:sz w:val="22"/>
        </w:rPr>
        <w:t>This summary assigns the surveillance outcomes and reporting rhythm for the designated COR. It does not alter the contractor's obligations or independently delegate authority. The signed COR designation controls the COR's authority.</w:t>
      </w:r>
    </w:p>
    <w:p>
      <w:pPr>
        <w:pStyle w:val="Heading1"/>
        <w:keepNext/>
      </w:pPr>
      <w:r>
        <w:t>Surveillance objectives and methods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600"/>
        <w:gridCol w:w="2050"/>
        <w:gridCol w:w="1800"/>
        <w:gridCol w:w="2910"/>
      </w:tblGrid>
      <w:tr>
        <w:tc>
          <w:tcPr>
            <w:tcW w:type="dxa" w:w="26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Performance objective</w:t>
            </w:r>
          </w:p>
        </w:tc>
        <w:tc>
          <w:tcPr>
            <w:tcW w:type="dxa" w:w="20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Method</w:t>
            </w:r>
          </w:p>
        </w:tc>
        <w:tc>
          <w:tcPr>
            <w:tcW w:type="dxa" w:w="18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Minimum frequency</w:t>
            </w:r>
          </w:p>
        </w:tc>
        <w:tc>
          <w:tcPr>
            <w:tcW w:type="dxa" w:w="29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Evidence</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Schedule / phasing</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Review schedule and field progress</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Weekly; monthly roll-up</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Schedule update, daily reports, meeting notes</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Quality / conformance</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Inspection and milestone witness</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Weekly and at hold points</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Inspection log, test results, deficiency status</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Safety / occupied facility</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Observation and record review</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Each visit; weekly review</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Safety reports, notices, corrective actions</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Submittals / Government action</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Status and aging review</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Weekly</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Submittal register, response dates, open actions</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Labor standards</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Payroll review and interviews</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Weekly payroll; periodic interview</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Certified payrolls, interview records</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Invoice support</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Compare claimed progress with accepted work</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Monthly</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Payment request, measurements, photographs</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Access / security</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Observe and review incidents</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Continuous; monthly roll-up</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Roster, access log, incident record</w:t>
            </w:r>
          </w:p>
        </w:tc>
      </w:tr>
      <w:tr>
        <w:tc>
          <w:tcPr>
            <w:tcW w:type="dxa" w:w="2600"/>
            <w:vAlign w:val="center"/>
            <w:tcMar>
              <w:top w:w="100" w:type="dxa"/>
              <w:bottom w:w="100" w:type="dxa"/>
              <w:start w:w="120" w:type="dxa"/>
              <w:end w:w="120" w:type="dxa"/>
            </w:tcMar>
          </w:tcPr>
          <w:p>
            <w:pPr>
              <w:spacing w:before="0" w:after="0" w:line="240" w:lineRule="auto"/>
            </w:pPr>
            <w:r>
              <w:rPr>
                <w:rFonts w:ascii="Calibri" w:hAnsi="Calibri"/>
                <w:b w:val="0"/>
                <w:color w:val="192530"/>
                <w:sz w:val="15"/>
              </w:rPr>
              <w:t>Potential changes / claims</w:t>
            </w:r>
          </w:p>
        </w:tc>
        <w:tc>
          <w:tcPr>
            <w:tcW w:type="dxa" w:w="2050"/>
            <w:vAlign w:val="center"/>
            <w:tcMar>
              <w:top w:w="100" w:type="dxa"/>
              <w:bottom w:w="100" w:type="dxa"/>
              <w:start w:w="120" w:type="dxa"/>
              <w:end w:w="120" w:type="dxa"/>
            </w:tcMar>
          </w:tcPr>
          <w:p>
            <w:pPr>
              <w:spacing w:before="0" w:after="0" w:line="240" w:lineRule="auto"/>
            </w:pPr>
            <w:r>
              <w:rPr>
                <w:rFonts w:ascii="Calibri" w:hAnsi="Calibri"/>
                <w:b w:val="0"/>
                <w:color w:val="192530"/>
                <w:sz w:val="15"/>
              </w:rPr>
              <w:t>Log and refer for CO action</w:t>
            </w:r>
          </w:p>
        </w:tc>
        <w:tc>
          <w:tcPr>
            <w:tcW w:type="dxa" w:w="1800"/>
            <w:vAlign w:val="center"/>
            <w:tcMar>
              <w:top w:w="100" w:type="dxa"/>
              <w:bottom w:w="100" w:type="dxa"/>
              <w:start w:w="120" w:type="dxa"/>
              <w:end w:w="120" w:type="dxa"/>
            </w:tcMar>
          </w:tcPr>
          <w:p>
            <w:pPr>
              <w:spacing w:before="0" w:after="0" w:line="240" w:lineRule="auto"/>
            </w:pPr>
            <w:r>
              <w:rPr>
                <w:rFonts w:ascii="Calibri" w:hAnsi="Calibri"/>
                <w:b w:val="0"/>
                <w:color w:val="192530"/>
                <w:sz w:val="15"/>
              </w:rPr>
              <w:t>As identified; monthly roll-up</w:t>
            </w:r>
          </w:p>
        </w:tc>
        <w:tc>
          <w:tcPr>
            <w:tcW w:type="dxa" w:w="2910"/>
            <w:vAlign w:val="center"/>
            <w:tcMar>
              <w:top w:w="100" w:type="dxa"/>
              <w:bottom w:w="100" w:type="dxa"/>
              <w:start w:w="120" w:type="dxa"/>
              <w:end w:w="120" w:type="dxa"/>
            </w:tcMar>
          </w:tcPr>
          <w:p>
            <w:pPr>
              <w:spacing w:before="0" w:after="0" w:line="240" w:lineRule="auto"/>
            </w:pPr>
            <w:r>
              <w:rPr>
                <w:rFonts w:ascii="Calibri" w:hAnsi="Calibri"/>
                <w:b w:val="0"/>
                <w:color w:val="192530"/>
                <w:sz w:val="15"/>
              </w:rPr>
              <w:t>Correspondence and issue log</w:t>
            </w:r>
          </w:p>
        </w:tc>
      </w:tr>
    </w:tbl>
    <w:p>
      <w:pPr>
        <w:pStyle w:val="Heading1"/>
        <w:keepNext/>
      </w:pPr>
      <w:r>
        <w:t>Monthly surveillance report requirement</w:t>
      </w:r>
    </w:p>
    <w:p>
      <w:pPr>
        <w:keepLines/>
        <w:spacing w:before="0" w:after="120" w:line="264" w:lineRule="auto"/>
        <w:ind w:left="0"/>
      </w:pPr>
      <w:r>
        <w:rPr>
          <w:rFonts w:ascii="Calibri" w:hAnsi="Calibri"/>
          <w:color w:val="192530"/>
          <w:sz w:val="22"/>
        </w:rPr>
        <w:t>The COR shall prepare one surveillance report for every calendar month of active performance and upload it to the Surveillance and Performance Module (SPM) no later than the fifth workday of the following month. Send the Contracting Officer a completion notice and immediately elevate any matter that cannot wait for the monthly report.</w:t>
      </w:r>
    </w:p>
    <w:p>
      <w:pPr>
        <w:keepNext/>
        <w:pageBreakBefore/>
        <w:spacing w:before="80" w:after="60"/>
        <w:jc w:val="center"/>
      </w:pPr>
      <w:r>
        <w:rPr>
          <w:rFonts w:ascii="Calibri" w:hAnsi="Calibri"/>
          <w:b/>
          <w:color w:val="192530"/>
          <w:sz w:val="32"/>
        </w:rPr>
        <w:t>MONTHLY REPORT CONTENT AND RECORD ROUTE</w:t>
      </w:r>
    </w:p>
    <w:p>
      <w:pPr>
        <w:keepNext/>
        <w:spacing w:before="0" w:after="200"/>
        <w:jc w:val="center"/>
      </w:pPr>
      <w:r>
        <w:rPr>
          <w:rFonts w:ascii="Calibri" w:hAnsi="Calibri"/>
          <w:b/>
          <w:color w:val="606A74"/>
          <w:sz w:val="21"/>
        </w:rPr>
        <w:t>FA-27-005 · COR working summary</w:t>
      </w:r>
    </w:p>
    <w:p>
      <w:pPr>
        <w:pStyle w:val="Heading1"/>
        <w:keepNext/>
      </w:pPr>
      <w:r>
        <w:t>Required monthly report content</w:t>
      </w:r>
    </w:p>
    <w:p>
      <w:pPr>
        <w:keepLines/>
        <w:spacing w:before="0" w:after="60" w:line="264" w:lineRule="auto"/>
        <w:numPr>
          <w:ilvl w:val="0"/>
          <w:numId w:val="15"/>
        </w:numPr>
      </w:pPr>
      <w:r>
        <w:rPr>
          <w:rFonts w:ascii="Calibri" w:hAnsi="Calibri"/>
          <w:color w:val="192530"/>
          <w:sz w:val="22"/>
        </w:rPr>
        <w:t>Reporting month, site visits, surveillance actions, persons contacted, and records reviewed.</w:t>
      </w:r>
    </w:p>
    <w:p>
      <w:pPr>
        <w:keepLines/>
        <w:spacing w:before="0" w:after="60" w:line="264" w:lineRule="auto"/>
        <w:numPr>
          <w:ilvl w:val="0"/>
          <w:numId w:val="16"/>
        </w:numPr>
      </w:pPr>
      <w:r>
        <w:rPr>
          <w:rFonts w:ascii="Calibri" w:hAnsi="Calibri"/>
          <w:color w:val="192530"/>
          <w:sz w:val="22"/>
        </w:rPr>
        <w:t>Performance result for each objective: acceptable, needs attention, or unacceptable, with facts supporting the result.</w:t>
      </w:r>
    </w:p>
    <w:p>
      <w:pPr>
        <w:keepLines/>
        <w:spacing w:before="0" w:after="60" w:line="264" w:lineRule="auto"/>
        <w:numPr>
          <w:ilvl w:val="0"/>
          <w:numId w:val="17"/>
        </w:numPr>
      </w:pPr>
      <w:r>
        <w:rPr>
          <w:rFonts w:ascii="Calibri" w:hAnsi="Calibri"/>
          <w:color w:val="192530"/>
          <w:sz w:val="22"/>
        </w:rPr>
        <w:t>Deficiencies, contractor corrective actions, due dates, verification status, and any unresolved recurring problem.</w:t>
      </w:r>
    </w:p>
    <w:p>
      <w:pPr>
        <w:keepLines/>
        <w:spacing w:before="0" w:after="60" w:line="264" w:lineRule="auto"/>
        <w:numPr>
          <w:ilvl w:val="0"/>
          <w:numId w:val="18"/>
        </w:numPr>
      </w:pPr>
      <w:r>
        <w:rPr>
          <w:rFonts w:ascii="Calibri" w:hAnsi="Calibri"/>
          <w:color w:val="192530"/>
          <w:sz w:val="22"/>
        </w:rPr>
        <w:t>Current schedule status, critical activities, forecast completion, delay notices, mitigation, and known concurrency facts.</w:t>
      </w:r>
    </w:p>
    <w:p>
      <w:pPr>
        <w:keepLines/>
        <w:spacing w:before="0" w:after="60" w:line="264" w:lineRule="auto"/>
        <w:numPr>
          <w:ilvl w:val="0"/>
          <w:numId w:val="19"/>
        </w:numPr>
      </w:pPr>
      <w:r>
        <w:rPr>
          <w:rFonts w:ascii="Calibri" w:hAnsi="Calibri"/>
          <w:color w:val="192530"/>
          <w:sz w:val="22"/>
        </w:rPr>
        <w:t>Submittal status and any late Government-furnished information, service, review, access, or decision.</w:t>
      </w:r>
    </w:p>
    <w:p>
      <w:pPr>
        <w:keepLines/>
        <w:spacing w:before="0" w:after="60" w:line="264" w:lineRule="auto"/>
        <w:numPr>
          <w:ilvl w:val="0"/>
          <w:numId w:val="20"/>
        </w:numPr>
      </w:pPr>
      <w:r>
        <w:rPr>
          <w:rFonts w:ascii="Calibri" w:hAnsi="Calibri"/>
          <w:color w:val="192530"/>
          <w:sz w:val="22"/>
        </w:rPr>
        <w:t>Safety, security, access, quality-control, testing, and labor-standards observations.</w:t>
      </w:r>
    </w:p>
    <w:p>
      <w:pPr>
        <w:keepLines/>
        <w:spacing w:before="0" w:after="60" w:line="264" w:lineRule="auto"/>
        <w:numPr>
          <w:ilvl w:val="0"/>
          <w:numId w:val="21"/>
        </w:numPr>
      </w:pPr>
      <w:r>
        <w:rPr>
          <w:rFonts w:ascii="Calibri" w:hAnsi="Calibri"/>
          <w:color w:val="192530"/>
          <w:sz w:val="22"/>
        </w:rPr>
        <w:t>Invoice and physical-progress support, including inspected work and qualifying materials.</w:t>
      </w:r>
    </w:p>
    <w:p>
      <w:pPr>
        <w:keepLines/>
        <w:spacing w:before="0" w:after="60" w:line="264" w:lineRule="auto"/>
        <w:numPr>
          <w:ilvl w:val="0"/>
          <w:numId w:val="22"/>
        </w:numPr>
      </w:pPr>
      <w:r>
        <w:rPr>
          <w:rFonts w:ascii="Calibri" w:hAnsi="Calibri"/>
          <w:color w:val="192530"/>
          <w:sz w:val="22"/>
        </w:rPr>
        <w:t>Potential change, REA, claim, or out-of-scope request identified during the month and the date referred for Contracting Officer action.</w:t>
      </w:r>
    </w:p>
    <w:p>
      <w:pPr>
        <w:keepLines/>
        <w:spacing w:before="0" w:after="60" w:line="264" w:lineRule="auto"/>
        <w:numPr>
          <w:ilvl w:val="0"/>
          <w:numId w:val="23"/>
        </w:numPr>
      </w:pPr>
      <w:r>
        <w:rPr>
          <w:rFonts w:ascii="Calibri" w:hAnsi="Calibri"/>
          <w:color w:val="192530"/>
          <w:sz w:val="22"/>
        </w:rPr>
        <w:t>Photographs, meeting records, correspondence, inspection logs, and other evidence relied upon.</w:t>
      </w:r>
    </w:p>
    <w:p>
      <w:pPr>
        <w:keepLines/>
        <w:spacing w:before="0" w:after="60" w:line="264" w:lineRule="auto"/>
        <w:numPr>
          <w:ilvl w:val="0"/>
          <w:numId w:val="24"/>
        </w:numPr>
      </w:pPr>
      <w:r>
        <w:rPr>
          <w:rFonts w:ascii="Calibri" w:hAnsi="Calibri"/>
          <w:color w:val="192530"/>
          <w:sz w:val="22"/>
        </w:rPr>
        <w:t>Overall assessment, open risks for the next month, and COR signature and date.</w:t>
      </w:r>
    </w:p>
    <w:p>
      <w:pPr>
        <w:pStyle w:val="Heading1"/>
        <w:keepNext/>
      </w:pPr>
      <w:r>
        <w:t>Record route</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3400"/>
        <w:gridCol w:w="3720"/>
        <w:gridCol w:w="2240"/>
      </w:tblGrid>
      <w:tr>
        <w:tc>
          <w:tcPr>
            <w:tcW w:type="dxa" w:w="34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Record</w:t>
            </w:r>
          </w:p>
        </w:tc>
        <w:tc>
          <w:tcPr>
            <w:tcW w:type="dxa" w:w="372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System / recipient</w:t>
            </w:r>
          </w:p>
        </w:tc>
        <w:tc>
          <w:tcPr>
            <w:tcW w:type="dxa" w:w="224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Timing</w:t>
            </w:r>
          </w:p>
        </w:tc>
      </w:tr>
      <w:tr>
        <w:tc>
          <w:tcPr>
            <w:tcW w:type="dxa" w:w="3400"/>
            <w:vAlign w:val="center"/>
            <w:tcMar>
              <w:top w:w="100" w:type="dxa"/>
              <w:bottom w:w="100" w:type="dxa"/>
              <w:start w:w="120" w:type="dxa"/>
              <w:end w:w="120" w:type="dxa"/>
            </w:tcMar>
          </w:tcPr>
          <w:p>
            <w:pPr>
              <w:spacing w:before="0" w:after="0" w:line="240" w:lineRule="auto"/>
            </w:pPr>
            <w:r>
              <w:rPr>
                <w:rFonts w:ascii="Calibri" w:hAnsi="Calibri"/>
                <w:b w:val="0"/>
                <w:color w:val="192530"/>
                <w:sz w:val="17"/>
              </w:rPr>
              <w:t>Individual surveillance activity</w:t>
            </w:r>
          </w:p>
        </w:tc>
        <w:tc>
          <w:tcPr>
            <w:tcW w:type="dxa" w:w="3720"/>
            <w:vAlign w:val="center"/>
            <w:tcMar>
              <w:top w:w="100" w:type="dxa"/>
              <w:bottom w:w="100" w:type="dxa"/>
              <w:start w:w="120" w:type="dxa"/>
              <w:end w:w="120" w:type="dxa"/>
            </w:tcMar>
          </w:tcPr>
          <w:p>
            <w:pPr>
              <w:spacing w:before="0" w:after="0" w:line="240" w:lineRule="auto"/>
            </w:pPr>
            <w:r>
              <w:rPr>
                <w:rFonts w:ascii="Calibri" w:hAnsi="Calibri"/>
                <w:b w:val="0"/>
                <w:color w:val="192530"/>
                <w:sz w:val="17"/>
              </w:rPr>
              <w:t>SPM COR file</w:t>
            </w:r>
          </w:p>
        </w:tc>
        <w:tc>
          <w:tcPr>
            <w:tcW w:type="dxa" w:w="2240"/>
            <w:vAlign w:val="center"/>
            <w:tcMar>
              <w:top w:w="100" w:type="dxa"/>
              <w:bottom w:w="100" w:type="dxa"/>
              <w:start w:w="120" w:type="dxa"/>
              <w:end w:w="120" w:type="dxa"/>
            </w:tcMar>
          </w:tcPr>
          <w:p>
            <w:pPr>
              <w:spacing w:before="0" w:after="0" w:line="240" w:lineRule="auto"/>
            </w:pPr>
            <w:r>
              <w:rPr>
                <w:rFonts w:ascii="Calibri" w:hAnsi="Calibri"/>
                <w:b w:val="0"/>
                <w:color w:val="192530"/>
                <w:sz w:val="17"/>
              </w:rPr>
              <w:t>Promptly after action</w:t>
            </w:r>
          </w:p>
        </w:tc>
      </w:tr>
      <w:tr>
        <w:tc>
          <w:tcPr>
            <w:tcW w:type="dxa" w:w="3400"/>
            <w:vAlign w:val="center"/>
            <w:tcMar>
              <w:top w:w="100" w:type="dxa"/>
              <w:bottom w:w="100" w:type="dxa"/>
              <w:start w:w="120" w:type="dxa"/>
              <w:end w:w="120" w:type="dxa"/>
            </w:tcMar>
          </w:tcPr>
          <w:p>
            <w:pPr>
              <w:spacing w:before="0" w:after="0" w:line="240" w:lineRule="auto"/>
            </w:pPr>
            <w:r>
              <w:rPr>
                <w:rFonts w:ascii="Calibri" w:hAnsi="Calibri"/>
                <w:b w:val="0"/>
                <w:color w:val="192530"/>
                <w:sz w:val="17"/>
              </w:rPr>
              <w:t>Monthly surveillance report</w:t>
            </w:r>
          </w:p>
        </w:tc>
        <w:tc>
          <w:tcPr>
            <w:tcW w:type="dxa" w:w="3720"/>
            <w:vAlign w:val="center"/>
            <w:tcMar>
              <w:top w:w="100" w:type="dxa"/>
              <w:bottom w:w="100" w:type="dxa"/>
              <w:start w:w="120" w:type="dxa"/>
              <w:end w:w="120" w:type="dxa"/>
            </w:tcMar>
          </w:tcPr>
          <w:p>
            <w:pPr>
              <w:spacing w:before="0" w:after="0" w:line="240" w:lineRule="auto"/>
            </w:pPr>
            <w:r>
              <w:rPr>
                <w:rFonts w:ascii="Calibri" w:hAnsi="Calibri"/>
                <w:b w:val="0"/>
                <w:color w:val="192530"/>
                <w:sz w:val="17"/>
              </w:rPr>
              <w:t>SPM; notice to Contracting Officer</w:t>
            </w:r>
          </w:p>
        </w:tc>
        <w:tc>
          <w:tcPr>
            <w:tcW w:type="dxa" w:w="2240"/>
            <w:vAlign w:val="center"/>
            <w:tcMar>
              <w:top w:w="100" w:type="dxa"/>
              <w:bottom w:w="100" w:type="dxa"/>
              <w:start w:w="120" w:type="dxa"/>
              <w:end w:w="120" w:type="dxa"/>
            </w:tcMar>
          </w:tcPr>
          <w:p>
            <w:pPr>
              <w:spacing w:before="0" w:after="0" w:line="240" w:lineRule="auto"/>
            </w:pPr>
            <w:r>
              <w:rPr>
                <w:rFonts w:ascii="Calibri" w:hAnsi="Calibri"/>
                <w:b w:val="0"/>
                <w:color w:val="192530"/>
                <w:sz w:val="17"/>
              </w:rPr>
              <w:t>By fifth workday after month-end</w:t>
            </w:r>
          </w:p>
        </w:tc>
      </w:tr>
      <w:tr>
        <w:tc>
          <w:tcPr>
            <w:tcW w:type="dxa" w:w="3400"/>
            <w:vAlign w:val="center"/>
            <w:tcMar>
              <w:top w:w="100" w:type="dxa"/>
              <w:bottom w:w="100" w:type="dxa"/>
              <w:start w:w="120" w:type="dxa"/>
              <w:end w:w="120" w:type="dxa"/>
            </w:tcMar>
          </w:tcPr>
          <w:p>
            <w:pPr>
              <w:spacing w:before="0" w:after="0" w:line="240" w:lineRule="auto"/>
            </w:pPr>
            <w:r>
              <w:rPr>
                <w:rFonts w:ascii="Calibri" w:hAnsi="Calibri"/>
                <w:b w:val="0"/>
                <w:color w:val="192530"/>
                <w:sz w:val="17"/>
              </w:rPr>
              <w:t>Urgent safety, security, quality, delay, funding, or performance issue</w:t>
            </w:r>
          </w:p>
        </w:tc>
        <w:tc>
          <w:tcPr>
            <w:tcW w:type="dxa" w:w="3720"/>
            <w:vAlign w:val="center"/>
            <w:tcMar>
              <w:top w:w="100" w:type="dxa"/>
              <w:bottom w:w="100" w:type="dxa"/>
              <w:start w:w="120" w:type="dxa"/>
              <w:end w:w="120" w:type="dxa"/>
            </w:tcMar>
          </w:tcPr>
          <w:p>
            <w:pPr>
              <w:spacing w:before="0" w:after="0" w:line="240" w:lineRule="auto"/>
            </w:pPr>
            <w:r>
              <w:rPr>
                <w:rFonts w:ascii="Calibri" w:hAnsi="Calibri"/>
                <w:b w:val="0"/>
                <w:color w:val="192530"/>
                <w:sz w:val="17"/>
              </w:rPr>
              <w:t>Contracting Officer and COR supervisor</w:t>
            </w:r>
          </w:p>
        </w:tc>
        <w:tc>
          <w:tcPr>
            <w:tcW w:type="dxa" w:w="2240"/>
            <w:vAlign w:val="center"/>
            <w:tcMar>
              <w:top w:w="100" w:type="dxa"/>
              <w:bottom w:w="100" w:type="dxa"/>
              <w:start w:w="120" w:type="dxa"/>
              <w:end w:w="120" w:type="dxa"/>
            </w:tcMar>
          </w:tcPr>
          <w:p>
            <w:pPr>
              <w:spacing w:before="0" w:after="0" w:line="240" w:lineRule="auto"/>
            </w:pPr>
            <w:r>
              <w:rPr>
                <w:rFonts w:ascii="Calibri" w:hAnsi="Calibri"/>
                <w:b w:val="0"/>
                <w:color w:val="192530"/>
                <w:sz w:val="17"/>
              </w:rPr>
              <w:t>Immediately; do not wait for monthly report</w:t>
            </w:r>
          </w:p>
        </w:tc>
      </w:tr>
      <w:tr>
        <w:tc>
          <w:tcPr>
            <w:tcW w:type="dxa" w:w="3400"/>
            <w:vAlign w:val="center"/>
            <w:tcMar>
              <w:top w:w="100" w:type="dxa"/>
              <w:bottom w:w="100" w:type="dxa"/>
              <w:start w:w="120" w:type="dxa"/>
              <w:end w:w="120" w:type="dxa"/>
            </w:tcMar>
          </w:tcPr>
          <w:p>
            <w:pPr>
              <w:spacing w:before="0" w:after="0" w:line="240" w:lineRule="auto"/>
            </w:pPr>
            <w:r>
              <w:rPr>
                <w:rFonts w:ascii="Calibri" w:hAnsi="Calibri"/>
                <w:b w:val="0"/>
                <w:color w:val="192530"/>
                <w:sz w:val="17"/>
              </w:rPr>
              <w:t>Final turnover</w:t>
            </w:r>
          </w:p>
        </w:tc>
        <w:tc>
          <w:tcPr>
            <w:tcW w:type="dxa" w:w="3720"/>
            <w:vAlign w:val="center"/>
            <w:tcMar>
              <w:top w:w="100" w:type="dxa"/>
              <w:bottom w:w="100" w:type="dxa"/>
              <w:start w:w="120" w:type="dxa"/>
              <w:end w:w="120" w:type="dxa"/>
            </w:tcMar>
          </w:tcPr>
          <w:p>
            <w:pPr>
              <w:spacing w:before="0" w:after="0" w:line="240" w:lineRule="auto"/>
            </w:pPr>
            <w:r>
              <w:rPr>
                <w:rFonts w:ascii="Calibri" w:hAnsi="Calibri"/>
                <w:b w:val="0"/>
                <w:color w:val="192530"/>
                <w:sz w:val="17"/>
              </w:rPr>
              <w:t>Contracting Officer / successor COR</w:t>
            </w:r>
          </w:p>
        </w:tc>
        <w:tc>
          <w:tcPr>
            <w:tcW w:type="dxa" w:w="2240"/>
            <w:vAlign w:val="center"/>
            <w:tcMar>
              <w:top w:w="100" w:type="dxa"/>
              <w:bottom w:w="100" w:type="dxa"/>
              <w:start w:w="120" w:type="dxa"/>
              <w:end w:w="120" w:type="dxa"/>
            </w:tcMar>
          </w:tcPr>
          <w:p>
            <w:pPr>
              <w:spacing w:before="0" w:after="0" w:line="240" w:lineRule="auto"/>
            </w:pPr>
            <w:r>
              <w:rPr>
                <w:rFonts w:ascii="Calibri" w:hAnsi="Calibri"/>
                <w:b w:val="0"/>
                <w:color w:val="192530"/>
                <w:sz w:val="17"/>
              </w:rPr>
              <w:t>At termination, replacement, or closeout</w:t>
            </w:r>
          </w:p>
        </w:tc>
      </w:tr>
    </w:tbl>
    <w:p>
      <w:pPr>
        <w:keepLines/>
        <w:spacing w:before="0" w:after="240" w:line="264" w:lineRule="auto"/>
        <w:ind w:left="0"/>
      </w:pPr>
      <w:r>
        <w:rPr>
          <w:rFonts w:ascii="Calibri" w:hAnsi="Calibri"/>
          <w:color w:val="192530"/>
          <w:sz w:val="22"/>
        </w:rPr>
        <w:t>Acknowledgement: The designated COR confirms receipt of this surveillance summary through the written COR designation and maintains the official record in JAM/SPM as directed.</w:t>
      </w:r>
    </w:p>
    <w:tbl>
      <w:tblPr>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1600"/>
        <w:gridCol w:w="4160"/>
        <w:gridCol w:w="3600"/>
      </w:tblGrid>
      <w:tr>
        <w:tc>
          <w:tcPr>
            <w:tcW w:type="dxa" w:w="1600"/>
            <w:vAlign w:val="center"/>
            <w:tcMar>
              <w:top w:w="100" w:type="dxa"/>
              <w:bottom w:w="100" w:type="dxa"/>
              <w:start w:w="120" w:type="dxa"/>
              <w:end w:w="120" w:type="dxa"/>
            </w:tcMar>
          </w:tcPr>
          <w:p>
            <w:pPr>
              <w:spacing w:before="0" w:after="0" w:line="240" w:lineRule="auto"/>
            </w:pPr>
            <w:r>
              <w:rPr>
                <w:rFonts w:ascii="Calibri" w:hAnsi="Calibri"/>
                <w:color w:val="192530"/>
                <w:sz w:val="20"/>
              </w:rPr>
              <w:t>Date</w:t>
              <w:br/>
              <w:br/>
            </w:r>
          </w:p>
        </w:tc>
        <w:tc>
          <w:tcPr>
            <w:tcW w:type="dxa" w:w="4160"/>
            <w:vAlign w:val="center"/>
            <w:tcMar>
              <w:top w:w="100" w:type="dxa"/>
              <w:bottom w:w="100" w:type="dxa"/>
              <w:start w:w="120" w:type="dxa"/>
              <w:end w:w="120" w:type="dxa"/>
            </w:tcMar>
          </w:tcPr>
          <w:p>
            <w:pPr>
              <w:spacing w:before="0" w:after="0" w:line="240" w:lineRule="auto"/>
            </w:pPr>
            <w:r>
              <w:rPr>
                <w:rFonts w:ascii="Calibri" w:hAnsi="Calibri"/>
                <w:color w:val="192530"/>
                <w:sz w:val="20"/>
              </w:rPr>
              <w:t>Contracting Officer</w:t>
              <w:br/>
              <w:t>Maj Emma Emmerich, 713 CONS</w:t>
              <w:br/>
            </w:r>
          </w:p>
        </w:tc>
        <w:tc>
          <w:tcPr>
            <w:tcW w:type="dxa" w:w="3600"/>
            <w:vAlign w:val="center"/>
            <w:tcMar>
              <w:top w:w="100" w:type="dxa"/>
              <w:bottom w:w="100" w:type="dxa"/>
              <w:start w:w="120" w:type="dxa"/>
              <w:end w:w="120" w:type="dxa"/>
            </w:tcMar>
          </w:tcPr>
          <w:p>
            <w:pPr>
              <w:spacing w:before="0" w:after="0" w:line="240" w:lineRule="auto"/>
            </w:pPr>
            <w:r>
              <w:rPr>
                <w:rFonts w:ascii="Calibri" w:hAnsi="Calibri"/>
                <w:color w:val="192530"/>
                <w:sz w:val="20"/>
              </w:rPr>
              <w:t>Signature</w:t>
              <w:br/>
              <w:t>/s/ Emma Emmerich</w:t>
              <w:br/>
            </w:r>
          </w:p>
        </w:tc>
      </w:tr>
      <w:tr>
        <w:tc>
          <w:tcPr>
            <w:tcW w:type="dxa" w:w="1600"/>
            <w:vAlign w:val="center"/>
            <w:tcMar>
              <w:top w:w="100" w:type="dxa"/>
              <w:bottom w:w="100" w:type="dxa"/>
              <w:start w:w="120" w:type="dxa"/>
              <w:end w:w="120" w:type="dxa"/>
            </w:tcMar>
          </w:tcPr>
          <w:p>
            <w:pPr>
              <w:spacing w:before="0" w:after="0" w:line="240" w:lineRule="auto"/>
            </w:pPr>
            <w:r>
              <w:rPr>
                <w:rFonts w:ascii="Calibri" w:hAnsi="Calibri"/>
                <w:color w:val="192530"/>
                <w:sz w:val="20"/>
              </w:rPr>
              <w:t>Date</w:t>
              <w:br/>
              <w:br/>
            </w:r>
          </w:p>
        </w:tc>
        <w:tc>
          <w:tcPr>
            <w:tcW w:type="dxa" w:w="4160"/>
            <w:vAlign w:val="center"/>
            <w:tcMar>
              <w:top w:w="100" w:type="dxa"/>
              <w:bottom w:w="100" w:type="dxa"/>
              <w:start w:w="120" w:type="dxa"/>
              <w:end w:w="120" w:type="dxa"/>
            </w:tcMar>
          </w:tcPr>
          <w:p>
            <w:pPr>
              <w:spacing w:before="0" w:after="0" w:line="240" w:lineRule="auto"/>
            </w:pPr>
            <w:r>
              <w:rPr>
                <w:rFonts w:ascii="Calibri" w:hAnsi="Calibri"/>
                <w:color w:val="192530"/>
                <w:sz w:val="20"/>
              </w:rPr>
              <w:t>Designated COR</w:t>
              <w:br/>
              <w:t>See current written designation</w:t>
              <w:br/>
            </w:r>
          </w:p>
        </w:tc>
        <w:tc>
          <w:tcPr>
            <w:tcW w:type="dxa" w:w="3600"/>
            <w:vAlign w:val="center"/>
            <w:tcMar>
              <w:top w:w="100" w:type="dxa"/>
              <w:bottom w:w="100" w:type="dxa"/>
              <w:start w:w="120" w:type="dxa"/>
              <w:end w:w="120" w:type="dxa"/>
            </w:tcMar>
          </w:tcPr>
          <w:p>
            <w:pPr>
              <w:spacing w:before="0" w:after="0" w:line="240" w:lineRule="auto"/>
            </w:pPr>
            <w:r>
              <w:rPr>
                <w:rFonts w:ascii="Calibri" w:hAnsi="Calibri"/>
                <w:color w:val="192530"/>
                <w:sz w:val="20"/>
              </w:rPr>
              <w:t>Signature</w:t>
              <w:br/>
              <w:br/>
            </w:r>
          </w:p>
        </w:tc>
      </w:tr>
    </w:tbl>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I-05  |  TASK ORDER AND SURVEILLANCE SUMMARY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360"/>
        </w:tabs>
        <w:ind w:left="360" w:hanging="360"/>
      </w:pPr>
    </w:lvl>
  </w:abstractNum>
  <w:num w:numId="10">
    <w:abstractNumId w:val="9"/>
  </w:num>
  <w:abstractNum w:abstractNumId="10">
    <w:multiLevelType w:val="singleLevel"/>
    <w:lvl w:ilvl="0">
      <w:start w:val="2"/>
      <w:numFmt w:val="decimal"/>
      <w:lvlText w:val="%1."/>
      <w:lvlJc w:val="left"/>
      <w:pPr>
        <w:tabs>
          <w:tab w:val="num" w:pos="360"/>
        </w:tabs>
        <w:ind w:left="360" w:hanging="360"/>
      </w:pPr>
    </w:lvl>
  </w:abstractNum>
  <w:num w:numId="11">
    <w:abstractNumId w:val="10"/>
  </w:num>
  <w:abstractNum w:abstractNumId="11">
    <w:multiLevelType w:val="singleLevel"/>
    <w:lvl w:ilvl="0">
      <w:start w:val="3"/>
      <w:numFmt w:val="decimal"/>
      <w:lvlText w:val="%1."/>
      <w:lvlJc w:val="left"/>
      <w:pPr>
        <w:tabs>
          <w:tab w:val="num" w:pos="360"/>
        </w:tabs>
        <w:ind w:left="360" w:hanging="360"/>
      </w:pPr>
    </w:lvl>
  </w:abstractNum>
  <w:num w:numId="12">
    <w:abstractNumId w:val="11"/>
  </w:num>
  <w:abstractNum w:abstractNumId="12">
    <w:multiLevelType w:val="singleLevel"/>
    <w:lvl w:ilvl="0">
      <w:start w:val="4"/>
      <w:numFmt w:val="decimal"/>
      <w:lvlText w:val="%1."/>
      <w:lvlJc w:val="left"/>
      <w:pPr>
        <w:tabs>
          <w:tab w:val="num" w:pos="360"/>
        </w:tabs>
        <w:ind w:left="360" w:hanging="360"/>
      </w:pPr>
    </w:lvl>
  </w:abstractNum>
  <w:num w:numId="13">
    <w:abstractNumId w:val="12"/>
  </w:num>
  <w:abstractNum w:abstractNumId="13">
    <w:multiLevelType w:val="singleLevel"/>
    <w:lvl w:ilvl="0">
      <w:start w:val="5"/>
      <w:numFmt w:val="decimal"/>
      <w:lvlText w:val="%1."/>
      <w:lvlJc w:val="left"/>
      <w:pPr>
        <w:tabs>
          <w:tab w:val="num" w:pos="360"/>
        </w:tabs>
        <w:ind w:left="360" w:hanging="360"/>
      </w:pPr>
    </w:lvl>
  </w:abstractNum>
  <w:num w:numId="14">
    <w:abstractNumId w:val="13"/>
  </w:num>
  <w:abstractNum w:abstractNumId="14">
    <w:multiLevelType w:val="singleLevel"/>
    <w:lvl w:ilvl="0">
      <w:start w:val="1"/>
      <w:numFmt w:val="decimal"/>
      <w:lvlText w:val="%1."/>
      <w:lvlJc w:val="left"/>
      <w:pPr>
        <w:tabs>
          <w:tab w:val="num" w:pos="360"/>
        </w:tabs>
        <w:ind w:left="360" w:hanging="360"/>
      </w:pPr>
    </w:lvl>
  </w:abstractNum>
  <w:num w:numId="15">
    <w:abstractNumId w:val="14"/>
  </w:num>
  <w:abstractNum w:abstractNumId="15">
    <w:multiLevelType w:val="singleLevel"/>
    <w:lvl w:ilvl="0">
      <w:start w:val="2"/>
      <w:numFmt w:val="decimal"/>
      <w:lvlText w:val="%1."/>
      <w:lvlJc w:val="left"/>
      <w:pPr>
        <w:tabs>
          <w:tab w:val="num" w:pos="360"/>
        </w:tabs>
        <w:ind w:left="360" w:hanging="360"/>
      </w:pPr>
    </w:lvl>
  </w:abstractNum>
  <w:num w:numId="16">
    <w:abstractNumId w:val="15"/>
  </w:num>
  <w:abstractNum w:abstractNumId="16">
    <w:multiLevelType w:val="singleLevel"/>
    <w:lvl w:ilvl="0">
      <w:start w:val="3"/>
      <w:numFmt w:val="decimal"/>
      <w:lvlText w:val="%1."/>
      <w:lvlJc w:val="left"/>
      <w:pPr>
        <w:tabs>
          <w:tab w:val="num" w:pos="360"/>
        </w:tabs>
        <w:ind w:left="360" w:hanging="360"/>
      </w:pPr>
    </w:lvl>
  </w:abstractNum>
  <w:num w:numId="17">
    <w:abstractNumId w:val="16"/>
  </w:num>
  <w:abstractNum w:abstractNumId="17">
    <w:multiLevelType w:val="singleLevel"/>
    <w:lvl w:ilvl="0">
      <w:start w:val="4"/>
      <w:numFmt w:val="decimal"/>
      <w:lvlText w:val="%1."/>
      <w:lvlJc w:val="left"/>
      <w:pPr>
        <w:tabs>
          <w:tab w:val="num" w:pos="360"/>
        </w:tabs>
        <w:ind w:left="360" w:hanging="360"/>
      </w:pPr>
    </w:lvl>
  </w:abstractNum>
  <w:num w:numId="18">
    <w:abstractNumId w:val="17"/>
  </w:num>
  <w:abstractNum w:abstractNumId="18">
    <w:multiLevelType w:val="singleLevel"/>
    <w:lvl w:ilvl="0">
      <w:start w:val="5"/>
      <w:numFmt w:val="decimal"/>
      <w:lvlText w:val="%1."/>
      <w:lvlJc w:val="left"/>
      <w:pPr>
        <w:tabs>
          <w:tab w:val="num" w:pos="360"/>
        </w:tabs>
        <w:ind w:left="360" w:hanging="360"/>
      </w:pPr>
    </w:lvl>
  </w:abstractNum>
  <w:num w:numId="19">
    <w:abstractNumId w:val="18"/>
  </w:num>
  <w:abstractNum w:abstractNumId="19">
    <w:multiLevelType w:val="singleLevel"/>
    <w:lvl w:ilvl="0">
      <w:start w:val="6"/>
      <w:numFmt w:val="decimal"/>
      <w:lvlText w:val="%1."/>
      <w:lvlJc w:val="left"/>
      <w:pPr>
        <w:tabs>
          <w:tab w:val="num" w:pos="360"/>
        </w:tabs>
        <w:ind w:left="360" w:hanging="360"/>
      </w:pPr>
    </w:lvl>
  </w:abstractNum>
  <w:num w:numId="20">
    <w:abstractNumId w:val="19"/>
  </w:num>
  <w:abstractNum w:abstractNumId="20">
    <w:multiLevelType w:val="singleLevel"/>
    <w:lvl w:ilvl="0">
      <w:start w:val="7"/>
      <w:numFmt w:val="decimal"/>
      <w:lvlText w:val="%1."/>
      <w:lvlJc w:val="left"/>
      <w:pPr>
        <w:tabs>
          <w:tab w:val="num" w:pos="360"/>
        </w:tabs>
        <w:ind w:left="360" w:hanging="360"/>
      </w:pPr>
    </w:lvl>
  </w:abstractNum>
  <w:num w:numId="21">
    <w:abstractNumId w:val="20"/>
  </w:num>
  <w:abstractNum w:abstractNumId="21">
    <w:multiLevelType w:val="singleLevel"/>
    <w:lvl w:ilvl="0">
      <w:start w:val="8"/>
      <w:numFmt w:val="decimal"/>
      <w:lvlText w:val="%1."/>
      <w:lvlJc w:val="left"/>
      <w:pPr>
        <w:tabs>
          <w:tab w:val="num" w:pos="360"/>
        </w:tabs>
        <w:ind w:left="360" w:hanging="360"/>
      </w:pPr>
    </w:lvl>
  </w:abstractNum>
  <w:num w:numId="22">
    <w:abstractNumId w:val="21"/>
  </w:num>
  <w:abstractNum w:abstractNumId="22">
    <w:multiLevelType w:val="singleLevel"/>
    <w:lvl w:ilvl="0">
      <w:start w:val="9"/>
      <w:numFmt w:val="decimal"/>
      <w:lvlText w:val="%1."/>
      <w:lvlJc w:val="left"/>
      <w:pPr>
        <w:tabs>
          <w:tab w:val="num" w:pos="360"/>
        </w:tabs>
        <w:ind w:left="360" w:hanging="360"/>
      </w:pPr>
    </w:lvl>
  </w:abstractNum>
  <w:num w:numId="23">
    <w:abstractNumId w:val="22"/>
  </w:num>
  <w:abstractNum w:abstractNumId="23">
    <w:multiLevelType w:val="singleLevel"/>
    <w:lvl w:ilvl="0">
      <w:start w:val="10"/>
      <w:numFmt w:val="decimal"/>
      <w:lvlText w:val="%1."/>
      <w:lvlJc w:val="left"/>
      <w:pPr>
        <w:tabs>
          <w:tab w:val="num" w:pos="360"/>
        </w:tabs>
        <w:ind w:left="360" w:hanging="360"/>
      </w:pPr>
    </w:lvl>
  </w:abstract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I-05 Campbell Hall Task Order and Surveillance Summary</dc:title>
  <dc:subject>Executed task order FA-27-005 and monthly COR surveillance requirements</dc:subject>
  <dc:creator>713th Contracting Squadron</dc:creator>
  <cp:keywords/>
  <dc:description>generated by python-docx</dc:description>
  <cp:lastModifiedBy/>
  <cp:revision>1</cp:revision>
  <dcterms:created xsi:type="dcterms:W3CDTF">2013-12-23T23:15:00Z</dcterms:created>
  <dcterms:modified xsi:type="dcterms:W3CDTF">2013-12-23T23:15:00Z</dcterms:modified>
  <cp:category/>
</cp:coreProperties>
</file>