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60" w:after="20"/>
        <w:jc w:val="center"/>
      </w:pPr>
      <w:r>
        <w:rPr>
          <w:rFonts w:ascii="Calibri" w:hAnsi="Calibri"/>
          <w:b/>
          <w:color w:val="192530"/>
          <w:sz w:val="32"/>
        </w:rPr>
        <w:t>OFFICE OF THE STAFF JUDGE ADVOCATE</w:t>
      </w:r>
    </w:p>
    <w:p>
      <w:pPr>
        <w:keepNext/>
        <w:spacing w:before="0" w:after="240"/>
        <w:jc w:val="center"/>
      </w:pPr>
      <w:r>
        <w:rPr>
          <w:rFonts w:ascii="Calibri" w:hAnsi="Calibri"/>
          <w:b/>
          <w:color w:val="606A74"/>
          <w:sz w:val="21"/>
        </w:rPr>
        <w:t>SHADOW MOSES AIR FIELD, ALASKA</w:t>
      </w:r>
    </w:p>
    <w:p>
      <w:pPr>
        <w:keepLines/>
        <w:spacing w:before="0" w:after="60" w:line="252" w:lineRule="auto"/>
      </w:pPr>
      <w:r>
        <w:rPr>
          <w:rFonts w:ascii="Calibri" w:hAnsi="Calibri"/>
          <w:b/>
          <w:color w:val="192530"/>
          <w:sz w:val="21"/>
        </w:rPr>
        <w:t xml:space="preserve">MEMORANDUM FOR: </w:t>
      </w:r>
      <w:r>
        <w:rPr>
          <w:rFonts w:ascii="Calibri" w:hAnsi="Calibri"/>
          <w:color w:val="192530"/>
          <w:sz w:val="21"/>
        </w:rPr>
        <w:t>Maj Emma Emmerich, Contracting Officer, 713 CONS</w:t>
      </w:r>
    </w:p>
    <w:p>
      <w:pPr>
        <w:keepLines/>
        <w:spacing w:before="0" w:after="60" w:line="252" w:lineRule="auto"/>
      </w:pPr>
      <w:r>
        <w:rPr>
          <w:rFonts w:ascii="Calibri" w:hAnsi="Calibri"/>
          <w:b/>
          <w:color w:val="192530"/>
          <w:sz w:val="21"/>
        </w:rPr>
        <w:t xml:space="preserve">FROM: </w:t>
      </w:r>
      <w:r>
        <w:rPr>
          <w:rFonts w:ascii="Calibri" w:hAnsi="Calibri"/>
          <w:color w:val="192530"/>
          <w:sz w:val="21"/>
        </w:rPr>
        <w:t>Maj Naomi Hunter, Deputy Staff Judge Advocate, 713 ABW/JA</w:t>
      </w:r>
    </w:p>
    <w:p>
      <w:pPr>
        <w:keepLines/>
        <w:spacing w:before="0" w:after="60" w:line="252" w:lineRule="auto"/>
      </w:pPr>
      <w:r>
        <w:rPr>
          <w:rFonts w:ascii="Calibri" w:hAnsi="Calibri"/>
          <w:b/>
          <w:color w:val="192530"/>
          <w:sz w:val="21"/>
        </w:rPr>
        <w:t xml:space="preserve">DATE: </w:t>
      </w:r>
      <w:r>
        <w:rPr>
          <w:rFonts w:ascii="Calibri" w:hAnsi="Calibri"/>
          <w:color w:val="192530"/>
          <w:sz w:val="21"/>
        </w:rPr>
        <w:t>24 August 2027</w:t>
      </w:r>
    </w:p>
    <w:p>
      <w:pPr>
        <w:keepLines/>
        <w:spacing w:before="0" w:after="200" w:line="252" w:lineRule="auto"/>
      </w:pPr>
      <w:r>
        <w:rPr>
          <w:rFonts w:ascii="Calibri" w:hAnsi="Calibri"/>
          <w:b/>
          <w:color w:val="192530"/>
          <w:sz w:val="21"/>
        </w:rPr>
        <w:t xml:space="preserve">SUBJECT: </w:t>
      </w:r>
      <w:r>
        <w:rPr>
          <w:rFonts w:ascii="Calibri" w:hAnsi="Calibri"/>
          <w:color w:val="192530"/>
          <w:sz w:val="21"/>
        </w:rPr>
        <w:t>Proposed $32,000 ratification for Campbell Hall Office 214</w:t>
      </w:r>
    </w:p>
    <w:p>
      <w:pPr>
        <w:pStyle w:val="Heading2"/>
        <w:keepNext/>
      </w:pPr>
      <w:r>
        <w:t>Question presented</w:t>
      </w:r>
    </w:p>
    <w:p>
      <w:pPr>
        <w:keepLines/>
        <w:spacing w:before="0" w:after="120" w:line="264" w:lineRule="auto"/>
      </w:pPr>
      <w:r>
        <w:rPr>
          <w:rFonts w:ascii="Calibri" w:hAnsi="Calibri"/>
          <w:color w:val="192530"/>
          <w:sz w:val="20"/>
        </w:rPr>
        <w:t>Whether the $32,000 commitment created when designated COR 1st Lt Jack 'Raiden' signed IB-02 and directed Peace Walker to perform extra-contractual work may be ratified under RFO FAR 1.405 and the archived DAF procedure retained as non-regulatory strategic guidance.</w:t>
      </w:r>
    </w:p>
    <w:p>
      <w:pPr>
        <w:pStyle w:val="Heading2"/>
        <w:keepNext/>
      </w:pPr>
      <w:r>
        <w:t>Legal analysis</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1900"/>
        <w:gridCol w:w="4300"/>
        <w:gridCol w:w="3160"/>
      </w:tblGrid>
      <w:tr>
        <w:trPr>
          <w:tblHeader w:val="true"/>
          <w:cantSplit/>
        </w:trPr>
        <w:tc>
          <w:tcPr>
            <w:tcW w:type="dxa" w:w="19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5"/>
              </w:rPr>
              <w:t>ISSUE</w:t>
            </w:r>
          </w:p>
        </w:tc>
        <w:tc>
          <w:tcPr>
            <w:tcW w:type="dxa" w:w="43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5"/>
              </w:rPr>
              <w:t>LEGAL CONCLUSION</w:t>
            </w:r>
          </w:p>
        </w:tc>
        <w:tc>
          <w:tcPr>
            <w:tcW w:type="dxa" w:w="316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5"/>
              </w:rPr>
              <w:t>SUPPORT</w:t>
            </w:r>
          </w:p>
        </w:tc>
      </w:tr>
      <w:tr>
        <w:trPr>
          <w:cantSplit/>
        </w:trPr>
        <w:tc>
          <w:tcPr>
            <w:tcW w:type="dxa" w:w="1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Authority</w:t>
            </w:r>
          </w:p>
        </w:tc>
        <w:tc>
          <w:tcPr>
            <w:tcW w:type="dxa" w:w="4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Raiden possessed only the actual authority delegated in his COR designation. It withheld contract-change authority.</w:t>
            </w:r>
          </w:p>
        </w:tc>
        <w:tc>
          <w:tcPr>
            <w:tcW w:type="dxa" w:w="3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RFO FAR 1.402-1; designation; IB-06</w:t>
            </w:r>
          </w:p>
        </w:tc>
      </w:tr>
      <w:tr>
        <w:trPr>
          <w:cantSplit/>
        </w:trPr>
        <w:tc>
          <w:tcPr>
            <w:tcW w:type="dxa" w:w="1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Unauthorized commitment</w:t>
            </w:r>
          </w:p>
        </w:tc>
        <w:tc>
          <w:tcPr>
            <w:tcW w:type="dxa" w:w="4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His signed agreement was not binding solely because he lacked authority to make it.</w:t>
            </w:r>
          </w:p>
        </w:tc>
        <w:tc>
          <w:tcPr>
            <w:tcW w:type="dxa" w:w="3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RFO FAR 1.405(a); IB-02 and IB-06</w:t>
            </w:r>
          </w:p>
        </w:tc>
      </w:tr>
      <w:tr>
        <w:trPr>
          <w:cantSplit/>
        </w:trPr>
        <w:tc>
          <w:tcPr>
            <w:tcW w:type="dxa" w:w="1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Benefit</w:t>
            </w:r>
          </w:p>
        </w:tc>
        <w:tc>
          <w:tcPr>
            <w:tcW w:type="dxa" w:w="4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The Government accepted and uses a technically acceptable system.</w:t>
            </w:r>
          </w:p>
        </w:tc>
        <w:tc>
          <w:tcPr>
            <w:tcW w:type="dxa" w:w="3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RFO FAR 1.405(c)(1); IB-04 and IB-07</w:t>
            </w:r>
          </w:p>
        </w:tc>
      </w:tr>
      <w:tr>
        <w:trPr>
          <w:cantSplit/>
        </w:trPr>
        <w:tc>
          <w:tcPr>
            <w:tcW w:type="dxa" w:w="19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Authority to ratify</w:t>
            </w:r>
          </w:p>
        </w:tc>
        <w:tc>
          <w:tcPr>
            <w:tcW w:type="dxa" w:w="43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The retained DAF matrix assigns this below-SAT action to the COCO without further delegation.</w:t>
            </w:r>
          </w:p>
        </w:tc>
        <w:tc>
          <w:tcPr>
            <w:tcW w:type="dxa" w:w="316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RFO FAR 1.405(b)(2), (c)(2); archived DAF guidance</w:t>
            </w:r>
          </w:p>
        </w:tc>
      </w:tr>
      <w:tr>
        <w:trPr>
          <w:cantSplit/>
        </w:trPr>
        <w:tc>
          <w:tcPr>
            <w:tcW w:type="dxa" w:w="1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Proper purchase</w:t>
            </w:r>
          </w:p>
        </w:tc>
        <w:tc>
          <w:tcPr>
            <w:tcW w:type="dxa" w:w="4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The in-scope facility change could have been lawfully ordered in writing by the CO before performance.</w:t>
            </w:r>
          </w:p>
        </w:tc>
        <w:tc>
          <w:tcPr>
            <w:tcW w:type="dxa" w:w="3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RFO FAR 1.405(c)(3); IB-05 and IB-08</w:t>
            </w:r>
          </w:p>
        </w:tc>
      </w:tr>
      <w:tr>
        <w:trPr>
          <w:cantSplit/>
        </w:trPr>
        <w:tc>
          <w:tcPr>
            <w:tcW w:type="dxa" w:w="19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Price and funds</w:t>
            </w:r>
          </w:p>
        </w:tc>
        <w:tc>
          <w:tcPr>
            <w:tcW w:type="dxa" w:w="43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$32,000 is fair and reasonable; appropriate funds existed then and remain available.</w:t>
            </w:r>
          </w:p>
        </w:tc>
        <w:tc>
          <w:tcPr>
            <w:tcW w:type="dxa" w:w="316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RFO FAR 1.405(c)(4), (6); IB-07</w:t>
            </w:r>
          </w:p>
        </w:tc>
      </w:tr>
      <w:tr>
        <w:trPr>
          <w:cantSplit/>
        </w:trPr>
        <w:tc>
          <w:tcPr>
            <w:tcW w:type="dxa" w:w="1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Recommendation and legal</w:t>
            </w:r>
          </w:p>
        </w:tc>
        <w:tc>
          <w:tcPr>
            <w:tcW w:type="dxa" w:w="4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The CO recommends payment and legal counsel concurs in this signed record.</w:t>
            </w:r>
          </w:p>
        </w:tc>
        <w:tc>
          <w:tcPr>
            <w:tcW w:type="dxa" w:w="3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RFO FAR 1.405(c)(5); this record</w:t>
            </w:r>
          </w:p>
        </w:tc>
      </w:tr>
    </w:tbl>
    <w:p>
      <w:pPr>
        <w:keepLines/>
        <w:spacing w:before="0" w:after="120" w:line="264" w:lineRule="auto"/>
      </w:pPr>
      <w:r>
        <w:rPr>
          <w:rFonts w:ascii="Calibri" w:hAnsi="Calibri"/>
          <w:b/>
          <w:color w:val="192530"/>
          <w:sz w:val="19"/>
        </w:rPr>
        <w:t>Legal concurrence</w:t>
      </w:r>
      <w:r>
        <w:rPr>
          <w:rFonts w:ascii="Calibri" w:hAnsi="Calibri"/>
          <w:color w:val="192530"/>
          <w:sz w:val="19"/>
        </w:rPr>
        <w:t xml:space="preserve"> I concur in ratification at $32,000, provided the COCO approves before the Contracting Officer executes the written contractual and payment action. An ordinary bilateral modification signed first would not cure the unauthorized commitment.</w:t>
      </w:r>
    </w:p>
    <w:p>
      <w:pPr>
        <w:keepLines/>
        <w:spacing w:before="160" w:after="0"/>
      </w:pPr>
      <w:r>
        <w:rPr>
          <w:rFonts w:ascii="Calibri" w:hAnsi="Calibri"/>
          <w:b/>
          <w:color w:val="192530"/>
          <w:sz w:val="20"/>
        </w:rPr>
        <w:t>/s/ NAOMI HUNTER</w:t>
        <w:br/>
      </w:r>
      <w:r>
        <w:rPr>
          <w:rFonts w:ascii="Calibri" w:hAnsi="Calibri"/>
          <w:color w:val="606A74"/>
          <w:sz w:val="18"/>
        </w:rPr>
        <w:t>Naomi Hunter</w:t>
        <w:br/>
        <w:t>Major, USAF | Deputy Staff Judge Advocate, 713 ABW/JA</w:t>
        <w:br/>
        <w:t>24 August 2027</w:t>
      </w:r>
    </w:p>
    <w:p>
      <w:r>
        <w:br w:type="page"/>
      </w:r>
    </w:p>
    <w:p>
      <w:pPr>
        <w:keepNext/>
        <w:spacing w:before="40" w:after="60"/>
        <w:jc w:val="center"/>
      </w:pPr>
      <w:r>
        <w:rPr>
          <w:rFonts w:ascii="Calibri" w:hAnsi="Calibri"/>
          <w:b/>
          <w:color w:val="192530"/>
          <w:sz w:val="32"/>
        </w:rPr>
        <w:t>CONTRACTING OFFICER CASE SUMMARY</w:t>
      </w:r>
    </w:p>
    <w:p>
      <w:pPr>
        <w:keepNext/>
        <w:spacing w:before="0" w:after="200"/>
        <w:jc w:val="center"/>
      </w:pPr>
      <w:r>
        <w:rPr>
          <w:rFonts w:ascii="Calibri" w:hAnsi="Calibri"/>
          <w:b/>
          <w:color w:val="606A74"/>
          <w:sz w:val="20"/>
        </w:rPr>
        <w:t>Recommendation for below-SAT ratification</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440"/>
        <w:gridCol w:w="6920"/>
      </w:tblGrid>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Unauthorized commitment</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Raiden's 11 August 2027 signed field authorization to Peace Walker</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Amount</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$32,000</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Contract</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SM-MACC-01 Task Order FA-27-005</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Recommended decision</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Ratify and authorize the later written contractual and payment action</w:t>
            </w:r>
          </w:p>
        </w:tc>
      </w:tr>
    </w:tbl>
    <w:p>
      <w:pPr>
        <w:pStyle w:val="Heading2"/>
        <w:keepNext/>
      </w:pPr>
      <w:r>
        <w:t>Case summary</w:t>
      </w:r>
    </w:p>
    <w:p>
      <w:pPr>
        <w:keepLines/>
        <w:spacing w:before="0" w:after="120" w:line="264" w:lineRule="auto"/>
      </w:pPr>
      <w:r>
        <w:rPr>
          <w:rFonts w:ascii="Calibri" w:hAnsi="Calibri"/>
          <w:color w:val="192530"/>
          <w:sz w:val="20"/>
        </w:rPr>
        <w:t>Peace Walker installed the dedicated system after Raiden approved its $32,000 proposal and directed immediate performance. Raiden was the designated COR but had no authority to change price, scope, schedule, or other terms; Maj Emmerich did not know of or authorize the work before performance. The contractor's reliance on Raiden's official COR status and signed direction explains its conduct but does not expand his delegated authority. The Government retained and uses the acceptable system.</w:t>
      </w:r>
    </w:p>
    <w:p>
      <w:pPr>
        <w:pStyle w:val="Heading2"/>
        <w:keepNext/>
      </w:pPr>
      <w:r>
        <w:t>RFO FAR 1.405(c) recommendation record</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500"/>
        <w:gridCol w:w="4180"/>
        <w:gridCol w:w="2680"/>
      </w:tblGrid>
      <w:tr>
        <w:trPr>
          <w:tblHeader w:val="true"/>
          <w:cantSplit/>
        </w:trPr>
        <w:tc>
          <w:tcPr>
            <w:tcW w:type="dxa" w:w="25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CONDITION</w:t>
            </w:r>
          </w:p>
        </w:tc>
        <w:tc>
          <w:tcPr>
            <w:tcW w:type="dxa" w:w="418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EVIDENCE</w:t>
            </w:r>
          </w:p>
        </w:tc>
        <w:tc>
          <w:tcPr>
            <w:tcW w:type="dxa" w:w="268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CO FINDING</w:t>
            </w:r>
          </w:p>
        </w:tc>
      </w:tr>
      <w:tr>
        <w:trPr>
          <w:cantSplit/>
        </w:trPr>
        <w:tc>
          <w:tcPr>
            <w:tcW w:type="dxa" w:w="25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Government benefit</w:t>
            </w:r>
          </w:p>
        </w:tc>
        <w:tc>
          <w:tcPr>
            <w:tcW w:type="dxa" w:w="418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IB-04 and IB-07 technical acceptance and use record</w:t>
            </w:r>
          </w:p>
        </w:tc>
        <w:tc>
          <w:tcPr>
            <w:tcW w:type="dxa" w:w="268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Satisfied</w:t>
            </w:r>
          </w:p>
        </w:tc>
      </w:tr>
      <w:tr>
        <w:trPr>
          <w:cantSplit/>
        </w:trPr>
        <w:tc>
          <w:tcPr>
            <w:tcW w:type="dxa" w:w="25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Ratifying authority</w:t>
            </w:r>
          </w:p>
        </w:tc>
        <w:tc>
          <w:tcPr>
            <w:tcW w:type="dxa" w:w="41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IB-08 archived DAF strategic-guidance application</w:t>
            </w:r>
          </w:p>
        </w:tc>
        <w:tc>
          <w:tcPr>
            <w:tcW w:type="dxa" w:w="26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COCO has authority</w:t>
            </w:r>
          </w:p>
        </w:tc>
      </w:tr>
      <w:tr>
        <w:trPr>
          <w:cantSplit/>
        </w:trPr>
        <w:tc>
          <w:tcPr>
            <w:tcW w:type="dxa" w:w="25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Otherwise proper purchase</w:t>
            </w:r>
          </w:p>
        </w:tc>
        <w:tc>
          <w:tcPr>
            <w:tcW w:type="dxa" w:w="41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IB-05 and IB-08 scope and vehicle analysis</w:t>
            </w:r>
          </w:p>
        </w:tc>
        <w:tc>
          <w:tcPr>
            <w:tcW w:type="dxa" w:w="26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Satisfied</w:t>
            </w:r>
          </w:p>
        </w:tc>
      </w:tr>
      <w:tr>
        <w:trPr>
          <w:cantSplit/>
        </w:trPr>
        <w:tc>
          <w:tcPr>
            <w:tcW w:type="dxa" w:w="25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Fair and reasonable price</w:t>
            </w:r>
          </w:p>
        </w:tc>
        <w:tc>
          <w:tcPr>
            <w:tcW w:type="dxa" w:w="418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IB-07 benchmark and CO determination</w:t>
            </w:r>
          </w:p>
        </w:tc>
        <w:tc>
          <w:tcPr>
            <w:tcW w:type="dxa" w:w="268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$32,000 fair and reasonable</w:t>
            </w:r>
          </w:p>
        </w:tc>
      </w:tr>
      <w:tr>
        <w:trPr>
          <w:cantSplit/>
        </w:trPr>
        <w:tc>
          <w:tcPr>
            <w:tcW w:type="dxa" w:w="25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 recommendation and legal</w:t>
            </w:r>
          </w:p>
        </w:tc>
        <w:tc>
          <w:tcPr>
            <w:tcW w:type="dxa" w:w="41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This summary and signed legal concurrence</w:t>
            </w:r>
          </w:p>
        </w:tc>
        <w:tc>
          <w:tcPr>
            <w:tcW w:type="dxa" w:w="26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Satisfied</w:t>
            </w:r>
          </w:p>
        </w:tc>
      </w:tr>
      <w:tr>
        <w:trPr>
          <w:cantSplit/>
        </w:trPr>
        <w:tc>
          <w:tcPr>
            <w:tcW w:type="dxa" w:w="25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Funds then and now</w:t>
            </w:r>
          </w:p>
        </w:tc>
        <w:tc>
          <w:tcPr>
            <w:tcW w:type="dxa" w:w="418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IB-07 funds certification</w:t>
            </w:r>
          </w:p>
        </w:tc>
        <w:tc>
          <w:tcPr>
            <w:tcW w:type="dxa" w:w="268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Satisfied</w:t>
            </w:r>
          </w:p>
        </w:tc>
      </w:tr>
    </w:tbl>
    <w:p>
      <w:pPr>
        <w:pStyle w:val="Heading2"/>
        <w:keepNext/>
      </w:pPr>
      <w:r>
        <w:t>Recommendation</w:t>
      </w:r>
    </w:p>
    <w:p>
      <w:pPr>
        <w:keepLines/>
        <w:spacing w:before="0" w:after="120" w:line="264" w:lineRule="auto"/>
      </w:pPr>
      <w:r>
        <w:rPr>
          <w:rFonts w:ascii="Calibri" w:hAnsi="Calibri"/>
          <w:color w:val="192530"/>
          <w:sz w:val="20"/>
        </w:rPr>
        <w:t>I recommend that the COCO ratify the $32,000 commitment. After approval, I will execute the appropriate written contract action citing the ratification, scope, price, funds, and complete-adjustment terms; process the supported invoice; update the contract and finance records; and retain the corrective-action package. No payment or ordinary modification will precede the COCO decision.</w:t>
      </w:r>
    </w:p>
    <w:p>
      <w:pPr>
        <w:keepLines/>
        <w:spacing w:before="160" w:after="0"/>
      </w:pPr>
      <w:r>
        <w:rPr>
          <w:rFonts w:ascii="Calibri" w:hAnsi="Calibri"/>
          <w:b/>
          <w:color w:val="192530"/>
          <w:sz w:val="20"/>
        </w:rPr>
        <w:t>/s/ EMMA EMMERICH</w:t>
        <w:br/>
      </w:r>
      <w:r>
        <w:rPr>
          <w:rFonts w:ascii="Calibri" w:hAnsi="Calibri"/>
          <w:color w:val="606A74"/>
          <w:sz w:val="18"/>
        </w:rPr>
        <w:t>Emma Emmerich</w:t>
        <w:br/>
        <w:t>Major, USAF | Contracting Officer, 713 CONS</w:t>
        <w:br/>
        <w:t>24 August 2027</w:t>
      </w:r>
    </w:p>
    <w:p>
      <w:r>
        <w:br w:type="page"/>
      </w:r>
    </w:p>
    <w:p>
      <w:pPr>
        <w:keepNext/>
        <w:spacing w:before="40" w:after="60"/>
        <w:jc w:val="center"/>
      </w:pPr>
      <w:r>
        <w:rPr>
          <w:rFonts w:ascii="Calibri" w:hAnsi="Calibri"/>
          <w:b/>
          <w:color w:val="192530"/>
          <w:sz w:val="32"/>
        </w:rPr>
        <w:t>RATIFICATION APPROVAL ROUTING RECORD</w:t>
      </w:r>
    </w:p>
    <w:p>
      <w:pPr>
        <w:keepNext/>
        <w:spacing w:before="0" w:after="200"/>
        <w:jc w:val="center"/>
      </w:pPr>
      <w:r>
        <w:rPr>
          <w:rFonts w:ascii="Calibri" w:hAnsi="Calibri"/>
          <w:b/>
          <w:color w:val="606A74"/>
          <w:sz w:val="20"/>
        </w:rPr>
        <w:t>Decision authority 713 CONS COCO | $32,000 below SAT</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4900"/>
        <w:gridCol w:w="2460"/>
        <w:gridCol w:w="2000"/>
      </w:tblGrid>
      <w:tr>
        <w:trPr>
          <w:tblHeader w:val="true"/>
          <w:cantSplit/>
        </w:trPr>
        <w:tc>
          <w:tcPr>
            <w:tcW w:type="dxa" w:w="49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PACKAGE ITEM</w:t>
            </w:r>
          </w:p>
        </w:tc>
        <w:tc>
          <w:tcPr>
            <w:tcW w:type="dxa" w:w="246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RECORD</w:t>
            </w:r>
          </w:p>
        </w:tc>
        <w:tc>
          <w:tcPr>
            <w:tcW w:type="dxa" w:w="20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STATUS</w:t>
            </w:r>
          </w:p>
        </w:tc>
      </w:tr>
      <w:tr>
        <w:trPr>
          <w:cantSplit/>
        </w:trPr>
        <w:tc>
          <w:tcPr>
            <w:tcW w:type="dxa" w:w="4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Contractor invoice and basis</w:t>
            </w:r>
          </w:p>
        </w:tc>
        <w:tc>
          <w:tcPr>
            <w:tcW w:type="dxa" w:w="24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IB-01</w:t>
            </w:r>
          </w:p>
        </w:tc>
        <w:tc>
          <w:tcPr>
            <w:tcW w:type="dxa" w:w="20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Complete</w:t>
            </w:r>
          </w:p>
        </w:tc>
      </w:tr>
      <w:tr>
        <w:trPr>
          <w:cantSplit/>
        </w:trPr>
        <w:tc>
          <w:tcPr>
            <w:tcW w:type="dxa" w:w="4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Signed field authorization and operational request</w:t>
            </w:r>
          </w:p>
        </w:tc>
        <w:tc>
          <w:tcPr>
            <w:tcW w:type="dxa" w:w="24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IB-02 and IB-03</w:t>
            </w:r>
          </w:p>
        </w:tc>
        <w:tc>
          <w:tcPr>
            <w:tcW w:type="dxa" w:w="20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Complete</w:t>
            </w:r>
          </w:p>
        </w:tc>
      </w:tr>
      <w:tr>
        <w:trPr>
          <w:cantSplit/>
        </w:trPr>
        <w:tc>
          <w:tcPr>
            <w:tcW w:type="dxa" w:w="4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Benefit photograph and original-scope evidence</w:t>
            </w:r>
          </w:p>
        </w:tc>
        <w:tc>
          <w:tcPr>
            <w:tcW w:type="dxa" w:w="24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IB-04 and IB-05</w:t>
            </w:r>
          </w:p>
        </w:tc>
        <w:tc>
          <w:tcPr>
            <w:tcW w:type="dxa" w:w="20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Complete</w:t>
            </w:r>
          </w:p>
        </w:tc>
      </w:tr>
      <w:tr>
        <w:trPr>
          <w:cantSplit/>
        </w:trPr>
        <w:tc>
          <w:tcPr>
            <w:tcW w:type="dxa" w:w="4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 investigation and individual statements</w:t>
            </w:r>
          </w:p>
        </w:tc>
        <w:tc>
          <w:tcPr>
            <w:tcW w:type="dxa" w:w="24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IB-06</w:t>
            </w:r>
          </w:p>
        </w:tc>
        <w:tc>
          <w:tcPr>
            <w:tcW w:type="dxa" w:w="20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Complete</w:t>
            </w:r>
          </w:p>
        </w:tc>
      </w:tr>
      <w:tr>
        <w:trPr>
          <w:cantSplit/>
        </w:trPr>
        <w:tc>
          <w:tcPr>
            <w:tcW w:type="dxa" w:w="4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Benefit, price, and funds</w:t>
            </w:r>
          </w:p>
        </w:tc>
        <w:tc>
          <w:tcPr>
            <w:tcW w:type="dxa" w:w="24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IB-07</w:t>
            </w:r>
          </w:p>
        </w:tc>
        <w:tc>
          <w:tcPr>
            <w:tcW w:type="dxa" w:w="20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Complete</w:t>
            </w:r>
          </w:p>
        </w:tc>
      </w:tr>
      <w:tr>
        <w:trPr>
          <w:cantSplit/>
        </w:trPr>
        <w:tc>
          <w:tcPr>
            <w:tcW w:type="dxa" w:w="4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Otherwise-proper purchase and approval authority</w:t>
            </w:r>
          </w:p>
        </w:tc>
        <w:tc>
          <w:tcPr>
            <w:tcW w:type="dxa" w:w="24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IB-08</w:t>
            </w:r>
          </w:p>
        </w:tc>
        <w:tc>
          <w:tcPr>
            <w:tcW w:type="dxa" w:w="20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Complete</w:t>
            </w:r>
          </w:p>
        </w:tc>
      </w:tr>
      <w:tr>
        <w:trPr>
          <w:cantSplit/>
        </w:trPr>
        <w:tc>
          <w:tcPr>
            <w:tcW w:type="dxa" w:w="49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Organization circumstances and corrective action</w:t>
            </w:r>
          </w:p>
        </w:tc>
        <w:tc>
          <w:tcPr>
            <w:tcW w:type="dxa" w:w="24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IB-09</w:t>
            </w:r>
          </w:p>
        </w:tc>
        <w:tc>
          <w:tcPr>
            <w:tcW w:type="dxa" w:w="20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Complete</w:t>
            </w:r>
          </w:p>
        </w:tc>
      </w:tr>
      <w:tr>
        <w:trPr>
          <w:cantSplit/>
        </w:trPr>
        <w:tc>
          <w:tcPr>
            <w:tcW w:type="dxa" w:w="49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Legal concurrence and CO recommendation</w:t>
            </w:r>
          </w:p>
        </w:tc>
        <w:tc>
          <w:tcPr>
            <w:tcW w:type="dxa" w:w="246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IB-10 pages 1 and 2</w:t>
            </w:r>
          </w:p>
        </w:tc>
        <w:tc>
          <w:tcPr>
            <w:tcW w:type="dxa" w:w="20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Complete</w:t>
            </w:r>
          </w:p>
        </w:tc>
      </w:tr>
    </w:tbl>
    <w:p>
      <w:pPr>
        <w:pStyle w:val="Heading2"/>
        <w:keepNext/>
      </w:pPr>
      <w:r>
        <w:t>Coordination</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100"/>
        <w:gridCol w:w="3700"/>
        <w:gridCol w:w="3560"/>
      </w:tblGrid>
      <w:tr>
        <w:trPr>
          <w:tblHeader w:val="true"/>
          <w:cantSplit/>
        </w:trPr>
        <w:tc>
          <w:tcPr>
            <w:tcW w:type="dxa" w:w="21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FUNCTION</w:t>
            </w:r>
          </w:p>
        </w:tc>
        <w:tc>
          <w:tcPr>
            <w:tcW w:type="dxa" w:w="37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NAME AND POSITION</w:t>
            </w:r>
          </w:p>
        </w:tc>
        <w:tc>
          <w:tcPr>
            <w:tcW w:type="dxa" w:w="356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ACTION AND DATE</w:t>
            </w:r>
          </w:p>
        </w:tc>
      </w:tr>
      <w:tr>
        <w:trPr>
          <w:cantSplit/>
        </w:trPr>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Requiring organization</w:t>
            </w:r>
          </w:p>
        </w:tc>
        <w:tc>
          <w:tcPr>
            <w:tcW w:type="dxa" w:w="37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Lt Col Mei Ling, 713 CES Commander</w:t>
            </w:r>
          </w:p>
        </w:tc>
        <w:tc>
          <w:tcPr>
            <w:tcW w:type="dxa" w:w="35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 Mei Ling | 23 Aug 2027</w:t>
            </w:r>
          </w:p>
        </w:tc>
      </w:tr>
      <w:tr>
        <w:trPr>
          <w:cantSplit/>
        </w:trPr>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Funds certification</w:t>
            </w:r>
          </w:p>
        </w:tc>
        <w:tc>
          <w:tcPr>
            <w:tcW w:type="dxa" w:w="37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Capt Rosemary Marquez, 713 CPTS</w:t>
            </w:r>
          </w:p>
        </w:tc>
        <w:tc>
          <w:tcPr>
            <w:tcW w:type="dxa" w:w="35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 Rosemary Marquez | 20 Aug 2027</w:t>
            </w:r>
          </w:p>
        </w:tc>
      </w:tr>
      <w:tr>
        <w:trPr>
          <w:cantSplit/>
        </w:trPr>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Legal review</w:t>
            </w:r>
          </w:p>
        </w:tc>
        <w:tc>
          <w:tcPr>
            <w:tcW w:type="dxa" w:w="37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Maj Naomi Hunter, 713 ABW/JA</w:t>
            </w:r>
          </w:p>
        </w:tc>
        <w:tc>
          <w:tcPr>
            <w:tcW w:type="dxa" w:w="35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 Naomi Hunter | 24 Aug 2027</w:t>
            </w:r>
          </w:p>
        </w:tc>
      </w:tr>
      <w:tr>
        <w:trPr>
          <w:cantSplit/>
        </w:trPr>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 recommendation</w:t>
            </w:r>
          </w:p>
        </w:tc>
        <w:tc>
          <w:tcPr>
            <w:tcW w:type="dxa" w:w="37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Maj Emma Emmerich, 713 CONS</w:t>
            </w:r>
          </w:p>
        </w:tc>
        <w:tc>
          <w:tcPr>
            <w:tcW w:type="dxa" w:w="35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 Emma Emmerich | 24 Aug 2027</w:t>
            </w:r>
          </w:p>
        </w:tc>
      </w:tr>
    </w:tbl>
    <w:p>
      <w:pPr>
        <w:pStyle w:val="Heading2"/>
        <w:keepNext/>
      </w:pPr>
      <w:r>
        <w:t>COCO decision</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4680"/>
        <w:gridCol w:w="4680"/>
      </w:tblGrid>
      <w:tr>
        <w:trPr>
          <w:cantSplit/>
        </w:trPr>
        <w:tc>
          <w:tcPr>
            <w:tcW w:type="dxa" w:w="4680"/>
            <w:tcMar>
              <w:top w:w="80" w:type="dxa"/>
              <w:bottom w:w="80" w:type="dxa"/>
              <w:start w:w="120" w:type="dxa"/>
              <w:end w:w="120" w:type="dxa"/>
            </w:tcMar>
            <w:vAlign w:val="center"/>
          </w:tcPr>
          <w:p>
            <w:pPr>
              <w:spacing w:before="0" w:after="0" w:line="240" w:lineRule="auto"/>
              <w:jc w:val="left"/>
            </w:pPr>
            <w:r/>
            <w:r>
              <w:rPr>
                <w:rFonts w:ascii="Calibri" w:hAnsi="Calibri"/>
                <w:b/>
                <w:color w:val="192530"/>
                <w:sz w:val="20"/>
              </w:rPr>
              <w:t>[ ] APPROVE RATIFICATION AT $32,000</w:t>
            </w:r>
          </w:p>
        </w:tc>
        <w:tc>
          <w:tcPr>
            <w:tcW w:type="dxa" w:w="4680"/>
            <w:tcMar>
              <w:top w:w="80" w:type="dxa"/>
              <w:bottom w:w="80" w:type="dxa"/>
              <w:start w:w="120" w:type="dxa"/>
              <w:end w:w="120" w:type="dxa"/>
            </w:tcMar>
            <w:vAlign w:val="center"/>
          </w:tcPr>
          <w:p>
            <w:pPr>
              <w:spacing w:before="0" w:after="0" w:line="240" w:lineRule="auto"/>
              <w:jc w:val="left"/>
            </w:pPr>
            <w:r/>
            <w:r>
              <w:rPr>
                <w:rFonts w:ascii="Calibri" w:hAnsi="Calibri"/>
                <w:b/>
                <w:color w:val="192530"/>
                <w:sz w:val="20"/>
              </w:rPr>
              <w:t>[ ] DISAPPROVE AND ATTACH LEGAL BASIS</w:t>
            </w:r>
          </w:p>
        </w:tc>
      </w:tr>
      <w:tr>
        <w:trPr>
          <w:cantSplit/>
        </w:trPr>
        <w:tc>
          <w:tcPr>
            <w:tcW w:type="dxa" w:w="46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Signature ______________________________</w:t>
              <w:br/>
              <w:t>Lt Col Helena Dolph Jackson</w:t>
              <w:br/>
              <w:t>Commander and COCO 713 CONS</w:t>
            </w:r>
          </w:p>
        </w:tc>
        <w:tc>
          <w:tcPr>
            <w:tcW w:type="dxa" w:w="46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Date __________________</w:t>
              <w:br/>
              <w:br/>
              <w:t>Approval is not further delegable.</w:t>
            </w:r>
          </w:p>
        </w:tc>
      </w:tr>
    </w:tbl>
    <w:p>
      <w:pPr>
        <w:keepLines/>
        <w:spacing w:before="0" w:after="120" w:line="264" w:lineRule="auto"/>
      </w:pPr>
      <w:r>
        <w:rPr>
          <w:rFonts w:ascii="Calibri" w:hAnsi="Calibri"/>
          <w:b/>
          <w:color w:val="192530"/>
          <w:sz w:val="19"/>
        </w:rPr>
        <w:t>Facilitator control</w:t>
      </w:r>
      <w:r>
        <w:rPr>
          <w:rFonts w:ascii="Calibri" w:hAnsi="Calibri"/>
          <w:color w:val="192530"/>
          <w:sz w:val="19"/>
        </w:rPr>
        <w:t xml:space="preserve"> Leave the decision unsigned until trainees select and justify a response. On the complete intended record, the strong response supports COCO approval followed by the Contracting Officer's written contractual and payment action.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6"/>
      </w:rPr>
      <w:t xml:space="preserve">IB-10  |  LEGAL AND ROUTING RECORD  |  DRAFT  |  Page </w:t>
    </w:r>
    <w:r>
      <w:rPr>
        <w:rFonts w:ascii="Calibri" w:hAnsi="Calibri"/>
        <w:color w:val="606A74"/>
        <w:sz w:val="16"/>
      </w:rPr>
      <w:fldChar w:fldCharType="begin"/>
      <w:instrText xml:space="preserve">PAGE</w:instrText>
      <w:fldChar w:fldCharType="separate"/>
      <w:t>1</w:t>
      <w:fldChar w:fldCharType="end"/>
    </w:r>
    <w:r>
      <w:rPr>
        <w:rFonts w:ascii="Calibri" w:hAnsi="Calibri"/>
        <w:color w:val="606A74"/>
        <w:sz w:val="16"/>
      </w:rPr>
      <w:t xml:space="preserve"> of </w:t>
    </w:r>
    <w:r>
      <w:rPr>
        <w:rFonts w:ascii="Calibri" w:hAnsi="Calibri"/>
        <w:color w:val="606A74"/>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6"/>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40" w:lineRule="auto" w:before="40"/>
      <w:contextualSpacing/>
    </w:pPr>
    <w:rPr>
      <w:rFonts w:asciiTheme="majorHAnsi" w:eastAsiaTheme="majorEastAsia" w:hAnsiTheme="majorHAnsi" w:cstheme="majorBidi" w:ascii="Calibri" w:hAnsi="Calibri"/>
      <w:b/>
      <w:color w:val="19253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IB-10 Legal Concurrence And Ratification Routing Record</dc:title>
  <dc:subject>Final legal review, Contracting Officer summary, and below-SAT COCO routing</dc:subject>
  <dc:creator>713 ABW/JA and 713 CONS (fictional)</dc:creator>
  <cp:keywords>training, construction, unauthorized commitment, ratification, RFO FAR 1.405</cp:keywords>
  <dc:description>Training use only. All names, places, dates, values, and requirements are fictional.</dc:description>
  <cp:lastModifiedBy/>
  <cp:revision>1</cp:revision>
  <dcterms:created xsi:type="dcterms:W3CDTF">2013-12-23T23:15:00Z</dcterms:created>
  <dcterms:modified xsi:type="dcterms:W3CDTF">2013-12-23T23:15:00Z</dcterms:modified>
  <cp:category/>
</cp:coreProperties>
</file>