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60" w:after="20"/>
        <w:jc w:val="center"/>
      </w:pPr>
      <w:r>
        <w:rPr>
          <w:rFonts w:ascii="Calibri" w:hAnsi="Calibri"/>
          <w:b/>
          <w:color w:val="192530"/>
          <w:sz w:val="32"/>
        </w:rPr>
        <w:t>DEPARTMENT OF THE AIR FORCE</w:t>
      </w:r>
    </w:p>
    <w:p>
      <w:pPr>
        <w:keepNext/>
        <w:spacing w:before="0" w:after="240"/>
        <w:jc w:val="center"/>
      </w:pPr>
      <w:r>
        <w:rPr>
          <w:rFonts w:ascii="Calibri" w:hAnsi="Calibri"/>
          <w:b/>
          <w:color w:val="606A74"/>
          <w:sz w:val="21"/>
        </w:rPr>
        <w:t>SHADOW MOSES AIR FIELD, ALASKA</w:t>
      </w:r>
    </w:p>
    <w:p>
      <w:pPr>
        <w:keepNext/>
        <w:spacing w:before="40" w:after="60"/>
        <w:jc w:val="center"/>
      </w:pPr>
      <w:r>
        <w:rPr>
          <w:rFonts w:ascii="Calibri" w:hAnsi="Calibri"/>
          <w:b/>
          <w:color w:val="192530"/>
          <w:sz w:val="32"/>
        </w:rPr>
        <w:t>BENEFIT AND TECHNICAL ACCEPTANCE RECORD</w:t>
      </w:r>
    </w:p>
    <w:p>
      <w:pPr>
        <w:keepNext/>
        <w:spacing w:before="0" w:after="200"/>
        <w:jc w:val="center"/>
      </w:pPr>
      <w:r>
        <w:rPr>
          <w:rFonts w:ascii="Calibri" w:hAnsi="Calibri"/>
          <w:b/>
          <w:color w:val="606A74"/>
          <w:sz w:val="20"/>
        </w:rPr>
        <w:t>Campbell Hall Office 214 dedicated mini-split</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440"/>
        <w:gridCol w:w="6920"/>
      </w:tblGrid>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Inspected</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18 August 2027 by 713 CES Mechanical Systems</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System</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One cold-climate ductless heat-pump mini-split serving Office 214</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Invoice</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IG-01 / PW-FA27-005-EXW-001 — $32,000</w:t>
            </w:r>
          </w:p>
        </w:tc>
      </w:tr>
      <w:tr>
        <w:trPr>
          <w:cantSplit/>
        </w:trPr>
        <w:tc>
          <w:tcPr>
            <w:tcW w:type="dxa" w:w="2440"/>
            <w:shd w:fill="F2F4F7"/>
            <w:tcMar>
              <w:top w:w="80" w:type="dxa"/>
              <w:bottom w:w="80" w:type="dxa"/>
              <w:start w:w="120" w:type="dxa"/>
              <w:end w:w="120" w:type="dxa"/>
            </w:tcMar>
            <w:vAlign w:val="center"/>
          </w:tcPr>
          <w:p>
            <w:pPr>
              <w:spacing w:before="0" w:after="0" w:line="240" w:lineRule="auto"/>
              <w:jc w:val="left"/>
            </w:pPr>
            <w:r/>
            <w:r>
              <w:rPr>
                <w:rFonts w:ascii="Calibri" w:hAnsi="Calibri"/>
                <w:b/>
                <w:color w:val="192530"/>
                <w:sz w:val="18"/>
              </w:rPr>
              <w:t>Condition</w:t>
            </w:r>
          </w:p>
        </w:tc>
        <w:tc>
          <w:tcPr>
            <w:tcW w:type="dxa" w:w="692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8"/>
              </w:rPr>
              <w:t>Installed, tested, operational, and retained in Government use</w:t>
            </w:r>
          </w:p>
        </w:tc>
      </w:tr>
    </w:tbl>
    <w:p>
      <w:pPr>
        <w:pStyle w:val="Heading2"/>
        <w:keepNext/>
      </w:pPr>
      <w:r>
        <w:t>Technical inspection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300"/>
        <w:gridCol w:w="1700"/>
        <w:gridCol w:w="5360"/>
      </w:tblGrid>
      <w:tr>
        <w:trPr>
          <w:tblHeader w:val="true"/>
          <w:cantSplit/>
        </w:trPr>
        <w:tc>
          <w:tcPr>
            <w:tcW w:type="dxa" w:w="23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CHECK</w:t>
            </w:r>
          </w:p>
        </w:tc>
        <w:tc>
          <w:tcPr>
            <w:tcW w:type="dxa" w:w="17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RESULT</w:t>
            </w:r>
          </w:p>
        </w:tc>
        <w:tc>
          <w:tcPr>
            <w:tcW w:type="dxa" w:w="53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EVIDENCE</w:t>
            </w:r>
          </w:p>
        </w:tc>
      </w:tr>
      <w:tr>
        <w:trPr>
          <w:cantSplit/>
        </w:trPr>
        <w:tc>
          <w:tcPr>
            <w:tcW w:type="dxa" w:w="2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Equipment and capacity</w:t>
            </w:r>
          </w:p>
        </w:tc>
        <w:tc>
          <w:tcPr>
            <w:tcW w:type="dxa" w:w="17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Acceptable</w:t>
            </w:r>
          </w:p>
        </w:tc>
        <w:tc>
          <w:tcPr>
            <w:tcW w:type="dxa" w:w="53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Cold-climate rated; design load and submittal data verified</w:t>
            </w:r>
          </w:p>
        </w:tc>
      </w:tr>
      <w:tr>
        <w:trPr>
          <w:cantSplit/>
        </w:trPr>
        <w:tc>
          <w:tcPr>
            <w:tcW w:type="dxa" w:w="2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Electrical installation</w:t>
            </w:r>
          </w:p>
        </w:tc>
        <w:tc>
          <w:tcPr>
            <w:tcW w:type="dxa" w:w="17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Acceptable</w:t>
            </w:r>
          </w:p>
        </w:tc>
        <w:tc>
          <w:tcPr>
            <w:tcW w:type="dxa" w:w="53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Dedicated circuit, disconnect, labeling, grounding, and test complete</w:t>
            </w:r>
          </w:p>
        </w:tc>
      </w:tr>
      <w:tr>
        <w:trPr>
          <w:cantSplit/>
        </w:trPr>
        <w:tc>
          <w:tcPr>
            <w:tcW w:type="dxa" w:w="2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Mechanical installation</w:t>
            </w:r>
          </w:p>
        </w:tc>
        <w:tc>
          <w:tcPr>
            <w:tcW w:type="dxa" w:w="17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Acceptable</w:t>
            </w:r>
          </w:p>
        </w:tc>
        <w:tc>
          <w:tcPr>
            <w:tcW w:type="dxa" w:w="53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Line set, insulation, condensate, penetration seal, and weather seal complete</w:t>
            </w:r>
          </w:p>
        </w:tc>
      </w:tr>
      <w:tr>
        <w:trPr>
          <w:cantSplit/>
        </w:trPr>
        <w:tc>
          <w:tcPr>
            <w:tcW w:type="dxa" w:w="2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Startup and controls</w:t>
            </w:r>
          </w:p>
        </w:tc>
        <w:tc>
          <w:tcPr>
            <w:tcW w:type="dxa" w:w="17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Acceptable</w:t>
            </w:r>
          </w:p>
        </w:tc>
        <w:tc>
          <w:tcPr>
            <w:tcW w:type="dxa" w:w="53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Functional test passed; temperature and defrost controls operate</w:t>
            </w:r>
          </w:p>
        </w:tc>
      </w:tr>
      <w:tr>
        <w:trPr>
          <w:cantSplit/>
        </w:trPr>
        <w:tc>
          <w:tcPr>
            <w:tcW w:type="dxa" w:w="23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Government use</w:t>
            </w:r>
          </w:p>
        </w:tc>
        <w:tc>
          <w:tcPr>
            <w:tcW w:type="dxa" w:w="17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Confirmed</w:t>
            </w:r>
          </w:p>
        </w:tc>
        <w:tc>
          <w:tcPr>
            <w:tcW w:type="dxa" w:w="536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Office 214 has used the system continuously since 16 August 2027</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EAF3EE"/>
            <w:tcMar>
              <w:top w:w="80" w:type="dxa"/>
              <w:bottom w:w="80" w:type="dxa"/>
              <w:start w:w="120" w:type="dxa"/>
              <w:end w:w="120" w:type="dxa"/>
            </w:tcMar>
            <w:vAlign w:val="center"/>
          </w:tcPr>
          <w:p>
            <w:pPr>
              <w:spacing w:before="40" w:after="40" w:line="252" w:lineRule="auto"/>
            </w:pPr>
            <w:r>
              <w:rPr>
                <w:rFonts w:ascii="Calibri" w:hAnsi="Calibri"/>
                <w:b/>
                <w:color w:val="2D694B"/>
                <w:sz w:val="18"/>
              </w:rPr>
              <w:t xml:space="preserve">FAR 1.602-3(c)(1) FACT: </w:t>
            </w:r>
            <w:r>
              <w:rPr>
                <w:rFonts w:ascii="Calibri" w:hAnsi="Calibri"/>
                <w:color w:val="192530"/>
                <w:sz w:val="18"/>
              </w:rPr>
              <w:t>The Government accepted the benefit of an operational, technically acceptable system and continues to use it. This finding supports one ratification condition; it does not by itself authorize payment or establish contracting authority.</w:t>
            </w:r>
          </w:p>
        </w:tc>
      </w:tr>
    </w:tbl>
    <w:p>
      <w:pPr>
        <w:pStyle w:val="Heading2"/>
        <w:keepNext/>
      </w:pPr>
      <w:r>
        <w:t>Price-analysis record</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400"/>
        <w:gridCol w:w="1500"/>
        <w:gridCol w:w="2180"/>
        <w:gridCol w:w="3280"/>
      </w:tblGrid>
      <w:tr>
        <w:trPr>
          <w:tblHeader w:val="true"/>
          <w:cantSplit/>
        </w:trPr>
        <w:tc>
          <w:tcPr>
            <w:tcW w:type="dxa" w:w="24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ELEMENT</w:t>
            </w:r>
          </w:p>
        </w:tc>
        <w:tc>
          <w:tcPr>
            <w:tcW w:type="dxa" w:w="1500"/>
            <w:shd w:fill="E8EEF5"/>
            <w:tcMar>
              <w:top w:w="80" w:type="dxa"/>
              <w:bottom w:w="80" w:type="dxa"/>
              <w:start w:w="120" w:type="dxa"/>
              <w:end w:w="120" w:type="dxa"/>
            </w:tcMar>
            <w:vAlign w:val="center"/>
          </w:tcPr>
          <w:p>
            <w:pPr>
              <w:spacing w:before="0" w:after="0" w:line="240" w:lineRule="auto"/>
              <w:jc w:val="right"/>
            </w:pPr>
            <w:r/>
            <w:r>
              <w:rPr>
                <w:rFonts w:ascii="Calibri" w:hAnsi="Calibri"/>
                <w:b/>
                <w:color w:val="192530"/>
                <w:sz w:val="16"/>
              </w:rPr>
              <w:t>INVOICE</w:t>
            </w:r>
          </w:p>
        </w:tc>
        <w:tc>
          <w:tcPr>
            <w:tcW w:type="dxa" w:w="2180"/>
            <w:shd w:fill="E8EEF5"/>
            <w:tcMar>
              <w:top w:w="80" w:type="dxa"/>
              <w:bottom w:w="80" w:type="dxa"/>
              <w:start w:w="120" w:type="dxa"/>
              <w:end w:w="120" w:type="dxa"/>
            </w:tcMar>
            <w:vAlign w:val="center"/>
          </w:tcPr>
          <w:p>
            <w:pPr>
              <w:spacing w:before="0" w:after="0" w:line="240" w:lineRule="auto"/>
              <w:jc w:val="right"/>
            </w:pPr>
            <w:r/>
            <w:r>
              <w:rPr>
                <w:rFonts w:ascii="Calibri" w:hAnsi="Calibri"/>
                <w:b/>
                <w:color w:val="192530"/>
                <w:sz w:val="16"/>
              </w:rPr>
              <w:t>GOVERNMENT BENCHMARK</w:t>
            </w:r>
          </w:p>
        </w:tc>
        <w:tc>
          <w:tcPr>
            <w:tcW w:type="dxa" w:w="328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ANALYSIS</w:t>
            </w:r>
          </w:p>
        </w:tc>
      </w:tr>
      <w:tr>
        <w:trPr>
          <w:cantSplit/>
        </w:trPr>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Equipment</w:t>
            </w:r>
          </w:p>
        </w:tc>
        <w:tc>
          <w:tcPr>
            <w:tcW w:type="dxa" w:w="150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$13,680</w:t>
            </w:r>
          </w:p>
        </w:tc>
        <w:tc>
          <w:tcPr>
            <w:tcW w:type="dxa" w:w="218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$14,050</w:t>
            </w:r>
          </w:p>
        </w:tc>
        <w:tc>
          <w:tcPr>
            <w:tcW w:type="dxa" w:w="328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Localized supplier catalog and freight</w:t>
            </w:r>
          </w:p>
        </w:tc>
      </w:tr>
      <w:tr>
        <w:trPr>
          <w:cantSplit/>
        </w:trPr>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Electrical</w:t>
            </w:r>
          </w:p>
        </w:tc>
        <w:tc>
          <w:tcPr>
            <w:tcW w:type="dxa" w:w="150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$5,420</w:t>
            </w:r>
          </w:p>
        </w:tc>
        <w:tc>
          <w:tcPr>
            <w:tcW w:type="dxa" w:w="218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$5,600</w:t>
            </w:r>
          </w:p>
        </w:tc>
        <w:tc>
          <w:tcPr>
            <w:tcW w:type="dxa" w:w="328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Quantity takeoff and regional labor</w:t>
            </w:r>
          </w:p>
        </w:tc>
      </w:tr>
      <w:tr>
        <w:trPr>
          <w:cantSplit/>
        </w:trPr>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Mechanical</w:t>
            </w:r>
          </w:p>
        </w:tc>
        <w:tc>
          <w:tcPr>
            <w:tcW w:type="dxa" w:w="150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$3,260</w:t>
            </w:r>
          </w:p>
        </w:tc>
        <w:tc>
          <w:tcPr>
            <w:tcW w:type="dxa" w:w="218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$3,390</w:t>
            </w:r>
          </w:p>
        </w:tc>
        <w:tc>
          <w:tcPr>
            <w:tcW w:type="dxa" w:w="328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Quantity takeoff and regional labor</w:t>
            </w:r>
          </w:p>
        </w:tc>
      </w:tr>
      <w:tr>
        <w:trPr>
          <w:cantSplit/>
        </w:trPr>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Field labor</w:t>
            </w:r>
          </w:p>
        </w:tc>
        <w:tc>
          <w:tcPr>
            <w:tcW w:type="dxa" w:w="150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$8,360</w:t>
            </w:r>
          </w:p>
        </w:tc>
        <w:tc>
          <w:tcPr>
            <w:tcW w:type="dxa" w:w="218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$8,588</w:t>
            </w:r>
          </w:p>
        </w:tc>
        <w:tc>
          <w:tcPr>
            <w:tcW w:type="dxa" w:w="328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76 hours × $113 benchmark</w:t>
            </w:r>
          </w:p>
        </w:tc>
      </w:tr>
      <w:tr>
        <w:trPr>
          <w:cantSplit/>
        </w:trPr>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Closeout</w:t>
            </w:r>
          </w:p>
        </w:tc>
        <w:tc>
          <w:tcPr>
            <w:tcW w:type="dxa" w:w="150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$1,280</w:t>
            </w:r>
          </w:p>
        </w:tc>
        <w:tc>
          <w:tcPr>
            <w:tcW w:type="dxa" w:w="2180"/>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$1,300</w:t>
            </w:r>
          </w:p>
        </w:tc>
        <w:tc>
          <w:tcPr>
            <w:tcW w:type="dxa" w:w="328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Startup, test, cleanup, turnover</w:t>
            </w:r>
          </w:p>
        </w:tc>
      </w:tr>
      <w:tr>
        <w:trPr>
          <w:cantSplit/>
        </w:trPr>
        <w:tc>
          <w:tcPr>
            <w:tcW w:type="dxa" w:w="24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TOTAL</w:t>
            </w:r>
          </w:p>
        </w:tc>
        <w:tc>
          <w:tcPr>
            <w:tcW w:type="dxa" w:w="1500"/>
            <w:shd w:fill="EAF3EE"/>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$32,000</w:t>
            </w:r>
          </w:p>
        </w:tc>
        <w:tc>
          <w:tcPr>
            <w:tcW w:type="dxa" w:w="2180"/>
            <w:shd w:fill="EAF3EE"/>
            <w:tcMar>
              <w:top w:w="80" w:type="dxa"/>
              <w:bottom w:w="80" w:type="dxa"/>
              <w:start w:w="120" w:type="dxa"/>
              <w:end w:w="120" w:type="dxa"/>
            </w:tcMar>
            <w:vAlign w:val="center"/>
          </w:tcPr>
          <w:p>
            <w:pPr>
              <w:spacing w:before="0" w:after="0" w:line="240" w:lineRule="auto"/>
              <w:jc w:val="right"/>
            </w:pPr>
            <w:r/>
            <w:r>
              <w:rPr>
                <w:rFonts w:ascii="Calibri" w:hAnsi="Calibri"/>
                <w:b w:val="0"/>
                <w:color w:val="192530"/>
                <w:sz w:val="16"/>
              </w:rPr>
              <w:t>$32,928</w:t>
            </w:r>
          </w:p>
        </w:tc>
        <w:tc>
          <w:tcPr>
            <w:tcW w:type="dxa" w:w="328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Invoice is 2.8% below the evaluated benchmark</w:t>
            </w:r>
          </w:p>
        </w:tc>
      </w:tr>
    </w:tbl>
    <w:p>
      <w:r>
        <w:br w:type="page"/>
      </w:r>
    </w:p>
    <w:p>
      <w:pPr>
        <w:keepNext/>
        <w:spacing w:before="40" w:after="60"/>
        <w:jc w:val="center"/>
      </w:pPr>
      <w:r>
        <w:rPr>
          <w:rFonts w:ascii="Calibri" w:hAnsi="Calibri"/>
          <w:b/>
          <w:color w:val="192530"/>
          <w:sz w:val="32"/>
        </w:rPr>
        <w:t>PRICE DETERMINATION AND FUNDS RECORD</w:t>
      </w:r>
    </w:p>
    <w:p>
      <w:pPr>
        <w:keepNext/>
        <w:spacing w:before="0" w:after="200"/>
        <w:jc w:val="center"/>
      </w:pPr>
      <w:r>
        <w:rPr>
          <w:rFonts w:ascii="Calibri" w:hAnsi="Calibri"/>
          <w:b/>
          <w:color w:val="606A74"/>
          <w:sz w:val="20"/>
        </w:rPr>
        <w:t>FAR 1.602-3(c)(4) and (6)</w:t>
      </w:r>
    </w:p>
    <w:p>
      <w:pPr>
        <w:pStyle w:val="Heading2"/>
        <w:keepNext/>
      </w:pPr>
      <w:r>
        <w:t>Contracting Officer price determination</w:t>
      </w:r>
    </w:p>
    <w:p>
      <w:pPr>
        <w:keepLines/>
        <w:spacing w:before="0" w:after="120" w:line="264" w:lineRule="auto"/>
      </w:pPr>
      <w:r>
        <w:rPr>
          <w:rFonts w:ascii="Calibri" w:hAnsi="Calibri"/>
          <w:color w:val="192530"/>
          <w:sz w:val="20"/>
        </w:rPr>
        <w:t>I compared the contractor's segregated invoice, supplier purchase records, timecards, local catalog data, regional construction labor, freight, and the Government's independent quantity takeoff. The invoiced total is 2.8 percent below the $32,928 Government benchmark. No duplicate cost, unsupported contingency, or cost already paid under Task Order FA-27-005 was identified. I determine $32,000 fair and reasonable for ratification purposes.</w:t>
      </w:r>
    </w:p>
    <w:p>
      <w:pPr>
        <w:keepLines/>
        <w:spacing w:before="160" w:after="0"/>
      </w:pPr>
      <w:r>
        <w:rPr>
          <w:rFonts w:ascii="Calibri" w:hAnsi="Calibri"/>
          <w:b/>
          <w:color w:val="192530"/>
          <w:sz w:val="20"/>
        </w:rPr>
        <w:t>/s/ EMMA EMMERICH</w:t>
        <w:br/>
      </w:r>
      <w:r>
        <w:rPr>
          <w:rFonts w:ascii="Calibri" w:hAnsi="Calibri"/>
          <w:color w:val="606A74"/>
          <w:sz w:val="18"/>
        </w:rPr>
        <w:t>Emma Emmerich</w:t>
        <w:br/>
        <w:t>Major, USAF | Contracting Officer, 713 CONS</w:t>
        <w:br/>
        <w:t>20 August 2027</w:t>
      </w:r>
    </w:p>
    <w:p>
      <w:pPr>
        <w:pStyle w:val="Heading2"/>
        <w:keepNext/>
      </w:pPr>
      <w:r>
        <w:t>Funds availability certification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100"/>
        <w:gridCol w:w="5160"/>
        <w:gridCol w:w="2100"/>
      </w:tblGrid>
      <w:tr>
        <w:trPr>
          <w:tblHeader w:val="true"/>
          <w:cantSplit/>
        </w:trPr>
        <w:tc>
          <w:tcPr>
            <w:tcW w:type="dxa" w:w="21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TEST</w:t>
            </w:r>
          </w:p>
        </w:tc>
        <w:tc>
          <w:tcPr>
            <w:tcW w:type="dxa" w:w="51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RECORD</w:t>
            </w:r>
          </w:p>
        </w:tc>
        <w:tc>
          <w:tcPr>
            <w:tcW w:type="dxa" w:w="21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7"/>
              </w:rPr>
              <w:t>RESULT</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Purpose</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FY24 Military Construction, Air Force (3300), Project SM-24-001 — Campbell Hall</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Appropriate to the Campbell Hall construction project</w:t>
            </w:r>
          </w:p>
        </w:tc>
      </w:tr>
      <w:tr>
        <w:trPr>
          <w:cantSplit/>
        </w:trPr>
        <w:tc>
          <w:tcPr>
            <w:tcW w:type="dxa" w:w="21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At commitment</w:t>
            </w:r>
          </w:p>
        </w:tc>
        <w:tc>
          <w:tcPr>
            <w:tcW w:type="dxa" w:w="516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Unobligated balance on 11 August 2027: $418,600</w:t>
            </w:r>
          </w:p>
        </w:tc>
        <w:tc>
          <w:tcPr>
            <w:tcW w:type="dxa" w:w="21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$32,000 was available</w:t>
            </w:r>
          </w:p>
        </w:tc>
      </w:tr>
      <w:tr>
        <w:trPr>
          <w:cantSplit/>
        </w:trPr>
        <w:tc>
          <w:tcPr>
            <w:tcW w:type="dxa" w:w="21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At ratification</w:t>
            </w:r>
          </w:p>
        </w:tc>
        <w:tc>
          <w:tcPr>
            <w:tcW w:type="dxa" w:w="516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Unobligated balance reserved on 20 August 2027: $386,600</w:t>
            </w:r>
          </w:p>
        </w:tc>
        <w:tc>
          <w:tcPr>
            <w:tcW w:type="dxa" w:w="2100"/>
            <w:shd w:fill="EAF3EE"/>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$32,000 remains available</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Amount</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Accounting classification 57 3300 24 713 3010 SM-24-001</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7"/>
              </w:rPr>
              <w:t>Full proposed ratification amount certified</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EAF3EE"/>
            <w:tcMar>
              <w:top w:w="80" w:type="dxa"/>
              <w:bottom w:w="80" w:type="dxa"/>
              <w:start w:w="120" w:type="dxa"/>
              <w:end w:w="120" w:type="dxa"/>
            </w:tcMar>
            <w:vAlign w:val="center"/>
          </w:tcPr>
          <w:p>
            <w:pPr>
              <w:spacing w:before="40" w:after="40" w:line="252" w:lineRule="auto"/>
            </w:pPr>
            <w:r>
              <w:rPr>
                <w:rFonts w:ascii="Calibri" w:hAnsi="Calibri"/>
                <w:b/>
                <w:color w:val="2D694B"/>
                <w:sz w:val="18"/>
              </w:rPr>
              <w:t xml:space="preserve">FUNDS CERTIFICATION: </w:t>
            </w:r>
            <w:r>
              <w:rPr>
                <w:rFonts w:ascii="Calibri" w:hAnsi="Calibri"/>
                <w:color w:val="192530"/>
                <w:sz w:val="18"/>
              </w:rPr>
              <w:t>I certify that $32,000 of FY24 Military Construction, Air Force funds was legally available for this project when the commitment occurred and remains available for the proposed ratification. This certification does not obligate funds until the authorized ratifying official approves and the Contracting Officer executes the proper contractual action.</w:t>
            </w:r>
          </w:p>
        </w:tc>
      </w:tr>
    </w:tbl>
    <w:p>
      <w:pPr>
        <w:keepLines/>
        <w:spacing w:before="160" w:after="0"/>
      </w:pPr>
      <w:r>
        <w:rPr>
          <w:rFonts w:ascii="Calibri" w:hAnsi="Calibri"/>
          <w:b/>
          <w:color w:val="192530"/>
          <w:sz w:val="20"/>
        </w:rPr>
        <w:t>/s/ ROSEMARY MARQUEZ</w:t>
        <w:br/>
      </w:r>
      <w:r>
        <w:rPr>
          <w:rFonts w:ascii="Calibri" w:hAnsi="Calibri"/>
          <w:color w:val="606A74"/>
          <w:sz w:val="18"/>
        </w:rPr>
        <w:t>Rosemary Marquez</w:t>
        <w:br/>
        <w:t>Captain, USAF | Certifying Official, 713 CPTS</w:t>
        <w:br/>
        <w:t>20 August 2027</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IG-04  |  BENEFIT, PRICE &amp; FUNDS  |  DRAFT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6"/>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IG-04 Benefit, Acceptance, Price, and Funds Record</dc:title>
  <dc:subject>FAR 1.602-3(c) support for Campbell Hall mini-split</dc:subject>
  <dc:creator>713 CES, 713 CPTS, and 713 CONS (fictional)</dc:creator>
  <cp:keywords>training, construction, unauthorized commitment, ratification, FAR 1.602-3</cp:keywords>
  <dc:description>Training use only. All names, places, dates, values, and requirements are fictional.</dc:description>
  <cp:lastModifiedBy/>
  <cp:revision>1</cp:revision>
  <dcterms:created xsi:type="dcterms:W3CDTF">2013-12-23T23:15:00Z</dcterms:created>
  <dcterms:modified xsi:type="dcterms:W3CDTF">2013-12-23T23:15:00Z</dcterms:modified>
  <cp:category/>
</cp:coreProperties>
</file>