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100" w:after="40"/>
        <w:jc w:val="center"/>
      </w:pPr>
      <w:r>
        <w:rPr>
          <w:rFonts w:ascii="Calibri" w:hAnsi="Calibri"/>
          <w:b/>
          <w:color w:val="192530"/>
          <w:sz w:val="32"/>
        </w:rPr>
        <w:t>DEPARTMENT OF THE AIR FORCE</w:t>
      </w:r>
    </w:p>
    <w:p>
      <w:pPr>
        <w:keepNext/>
        <w:spacing w:before="0" w:after="280"/>
        <w:jc w:val="center"/>
      </w:pPr>
      <w:r>
        <w:rPr>
          <w:rFonts w:ascii="Calibri" w:hAnsi="Calibri"/>
          <w:b/>
          <w:color w:val="606A74"/>
          <w:sz w:val="21"/>
        </w:rPr>
        <w:t>SHADOW MOSES AIR FIELD, ALASKA</w:t>
      </w:r>
    </w:p>
    <w:p>
      <w:pPr>
        <w:keepNext/>
        <w:pageBreakBefore w:val="0"/>
        <w:spacing w:before="80" w:after="60"/>
        <w:jc w:val="center"/>
      </w:pPr>
      <w:r>
        <w:rPr>
          <w:rFonts w:ascii="Calibri" w:hAnsi="Calibri"/>
          <w:b/>
          <w:color w:val="192530"/>
          <w:sz w:val="32"/>
        </w:rPr>
        <w:t>TASK ORDER EXTRACT</w:t>
      </w:r>
    </w:p>
    <w:p>
      <w:pPr>
        <w:keepNext/>
        <w:spacing w:before="0" w:after="200"/>
        <w:jc w:val="center"/>
      </w:pPr>
      <w:r>
        <w:rPr>
          <w:rFonts w:ascii="Calibri" w:hAnsi="Calibri"/>
          <w:b/>
          <w:color w:val="606A74"/>
          <w:sz w:val="21"/>
        </w:rPr>
        <w:t>Contractor-furnished construction equipment | FA-27-008</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2500"/>
        <w:gridCol w:w="6860"/>
      </w:tblGrid>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Vehicle</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SM-MACC-01, Task Order FA-27-008</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Contractor</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Diamond Dogs Civil Works, LLC</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Requirement</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Building 100 Command Post Renewal</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Contract type / award</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Firm fixed price / $8,615,000</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Award / notice to proceed</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16 August 2027 / 16 August 2027</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Extract status</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Conformed award record through Modification 0000</w:t>
            </w:r>
          </w:p>
        </w:tc>
      </w:tr>
    </w:tbl>
    <w:p>
      <w:pPr>
        <w:pStyle w:val="Heading1"/>
        <w:keepNext/>
      </w:pPr>
      <w:r>
        <w:t>Section C, paragraph 1.8 - Contractor resources</w:t>
      </w:r>
    </w:p>
    <w:p>
      <w:pPr>
        <w:keepLines/>
        <w:spacing w:before="0" w:after="120" w:line="264" w:lineRule="auto"/>
        <w:ind w:left="0"/>
      </w:pPr>
      <w:r>
        <w:rPr>
          <w:rFonts w:ascii="Calibri" w:hAnsi="Calibri"/>
          <w:color w:val="192530"/>
          <w:sz w:val="22"/>
        </w:rPr>
        <w:t>The Contractor shall furnish all labor, supervision, professional services, tools, vehicles, lifting and material-handling equipment, temporary facilities, construction plant, fuel, maintenance, and incidentals necessary for complete design and construction, except property expressly identified in the task-order schedule as Government-furnished property.</w:t>
      </w:r>
    </w:p>
    <w:p>
      <w:pPr>
        <w:pStyle w:val="Heading1"/>
        <w:keepNext/>
      </w:pPr>
      <w:r>
        <w:t>Specification 01 50 00, paragraph 1.3 - Construction equipment</w:t>
      </w:r>
    </w:p>
    <w:p>
      <w:pPr>
        <w:keepLines/>
        <w:spacing w:before="0" w:after="120" w:line="264" w:lineRule="auto"/>
        <w:ind w:left="0"/>
      </w:pPr>
      <w:r>
        <w:rPr>
          <w:rFonts w:ascii="Calibri" w:hAnsi="Calibri"/>
          <w:color w:val="192530"/>
          <w:sz w:val="22"/>
        </w:rPr>
        <w:t>Provide cranes, telehandlers, forklifts, loaders, hauling equipment, rigging, operators, inspections, maintenance, repair, and replacement capacity required for the work. Include equipment mobilization and demobilization in the firm-fixed price. Equipment failure, repair, replacement, and ordinary rental availability remain the Contractor's responsibility unless another contract term provides relief.</w:t>
      </w:r>
    </w:p>
    <w:p>
      <w:pPr>
        <w:pStyle w:val="Heading1"/>
        <w:keepNext/>
      </w:pPr>
      <w:r>
        <w:t>Task-order schedule - Government-furnished property</w:t>
      </w:r>
    </w:p>
    <w:tbl>
      <w:tblPr>
        <w:tblStyle w:val="TableGrid"/>
        <w:tblW w:type="dxa" w:w="9360"/>
        <w:jc w:val="left"/>
        <w:tblLayout w:type="fixed"/>
        <w:tblLook w:firstColumn="1" w:firstRow="1" w:lastColumn="0" w:lastRow="0" w:noHBand="0" w:noVBand="1" w:val="04A0"/>
        <w:tblInd w:w="120" w:type="dxa"/>
        <w:tblBorders>
          <w:top w:val="single" w:sz="5" w:color="8A969F"/>
          <w:left w:val="single" w:sz="5" w:color="8A969F"/>
          <w:bottom w:val="single" w:sz="5" w:color="8A969F"/>
          <w:right w:val="single" w:sz="5" w:color="8A969F"/>
          <w:insideH w:val="single" w:sz="5" w:color="8A969F"/>
          <w:insideV w:val="single" w:sz="5" w:color="8A969F"/>
        </w:tblBorders>
      </w:tblPr>
      <w:tblGrid>
        <w:gridCol w:w="3400"/>
        <w:gridCol w:w="5960"/>
      </w:tblGrid>
      <w:tr>
        <w:trPr>
          <w:tblHeader w:val="true"/>
          <w:cantSplit/>
        </w:trPr>
        <w:tc>
          <w:tcPr>
            <w:tcW w:type="dxa" w:w="3400"/>
            <w:shd w:fill="E8EEF5"/>
            <w:vAlign w:val="center"/>
            <w:tcMar>
              <w:top w:w="100" w:type="dxa"/>
              <w:bottom w:w="100" w:type="dxa"/>
              <w:start w:w="120" w:type="dxa"/>
              <w:end w:w="120" w:type="dxa"/>
            </w:tcMar>
          </w:tcPr>
          <w:p>
            <w:pPr>
              <w:keepLines/>
              <w:spacing w:before="20" w:after="20" w:line="240" w:lineRule="auto"/>
              <w:jc w:val="left"/>
            </w:pPr>
            <w:r/>
            <w:r>
              <w:rPr>
                <w:rFonts w:ascii="Calibri" w:hAnsi="Calibri"/>
                <w:b/>
                <w:color w:val="192530"/>
                <w:sz w:val="17"/>
              </w:rPr>
              <w:t>Schedule item</w:t>
            </w:r>
          </w:p>
        </w:tc>
        <w:tc>
          <w:tcPr>
            <w:tcW w:type="dxa" w:w="5960"/>
            <w:shd w:fill="E8EEF5"/>
            <w:vAlign w:val="center"/>
            <w:tcMar>
              <w:top w:w="100" w:type="dxa"/>
              <w:bottom w:w="100" w:type="dxa"/>
              <w:start w:w="120" w:type="dxa"/>
              <w:end w:w="120" w:type="dxa"/>
            </w:tcMar>
          </w:tcPr>
          <w:p>
            <w:pPr>
              <w:keepLines/>
              <w:spacing w:before="20" w:after="20" w:line="240" w:lineRule="auto"/>
              <w:jc w:val="left"/>
            </w:pPr>
            <w:r/>
            <w:r>
              <w:rPr>
                <w:rFonts w:ascii="Calibri" w:hAnsi="Calibri"/>
                <w:b/>
                <w:color w:val="192530"/>
                <w:sz w:val="17"/>
              </w:rPr>
              <w:t>Award entry</w:t>
            </w:r>
          </w:p>
        </w:tc>
      </w:tr>
      <w:tr>
        <w:trPr>
          <w:cantSplit/>
        </w:trPr>
        <w:tc>
          <w:tcPr>
            <w:tcW w:type="dxa" w:w="3400"/>
            <w:shd w:fill="F8F1DD"/>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7"/>
              </w:rPr>
              <w:t>Government-furnished property</w:t>
            </w:r>
          </w:p>
        </w:tc>
        <w:tc>
          <w:tcPr>
            <w:tcW w:type="dxa" w:w="5960"/>
            <w:shd w:fill="F8F1DD"/>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7"/>
              </w:rPr>
              <w:t>NONE</w:t>
            </w:r>
          </w:p>
        </w:tc>
      </w:tr>
      <w:tr>
        <w:trPr>
          <w:cantSplit/>
        </w:trPr>
        <w:tc>
          <w:tcPr>
            <w:tcW w:type="dxa" w:w="3400"/>
            <w:shd w:fill="F8F1DD"/>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7"/>
              </w:rPr>
              <w:t>Government equipment available for contractor use</w:t>
            </w:r>
          </w:p>
        </w:tc>
        <w:tc>
          <w:tcPr>
            <w:tcW w:type="dxa" w:w="5960"/>
            <w:shd w:fill="F8F1DD"/>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7"/>
              </w:rPr>
              <w:t>NONE IDENTIFIED</w:t>
            </w:r>
          </w:p>
        </w:tc>
      </w:tr>
      <w:tr>
        <w:trPr>
          <w:cantSplit/>
        </w:trPr>
        <w:tc>
          <w:tcPr>
            <w:tcW w:type="dxa" w:w="3400"/>
            <w:shd w:fill="F8F1DD"/>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7"/>
              </w:rPr>
              <w:t>Property attachment</w:t>
            </w:r>
          </w:p>
        </w:tc>
        <w:tc>
          <w:tcPr>
            <w:tcW w:type="dxa" w:w="5960"/>
            <w:shd w:fill="F8F1DD"/>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7"/>
              </w:rPr>
              <w:t>NOT ISSUED AT AWARD</w:t>
            </w:r>
          </w:p>
        </w:tc>
      </w:tr>
    </w:tbl>
    <w:p>
      <w:pPr>
        <w:keepLines/>
        <w:spacing w:before="0" w:after="100" w:line="264" w:lineRule="auto"/>
        <w:ind w:left="0"/>
      </w:pPr>
      <w:r>
        <w:rPr>
          <w:rFonts w:ascii="Calibri" w:hAnsi="Calibri"/>
          <w:color w:val="192530"/>
          <w:sz w:val="22"/>
        </w:rPr>
        <w:t>Government-owned construction equipment shall not be borrowed, possessed, or used through an oral or informal arrangement. Any change must be made in writing by the Contracting Officer before transfer or use and must identify the property and applicable contract terms.</w:t>
      </w:r>
    </w:p>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9360"/>
      </w:tblGrid>
      <w:tr>
        <w:tc>
          <w:tcPr>
            <w:tcW w:type="dxa" w:w="9360"/>
            <w:shd w:fill="F2F4F7"/>
            <w:vAlign w:val="center"/>
            <w:tcMar>
              <w:top w:w="100" w:type="dxa"/>
              <w:bottom w:w="100" w:type="dxa"/>
              <w:start w:w="120" w:type="dxa"/>
              <w:end w:w="120" w:type="dxa"/>
            </w:tcMar>
          </w:tcPr>
          <w:p>
            <w:pPr>
              <w:keepLines/>
              <w:spacing w:before="40" w:after="40" w:line="252" w:lineRule="auto"/>
            </w:pPr>
            <w:r>
              <w:rPr>
                <w:rFonts w:ascii="Calibri" w:hAnsi="Calibri"/>
                <w:b/>
                <w:color w:val="2E74B5"/>
                <w:sz w:val="18"/>
              </w:rPr>
              <w:t xml:space="preserve">EXTRACT LIMIT: </w:t>
            </w:r>
            <w:r>
              <w:rPr>
                <w:rFonts w:ascii="Calibri" w:hAnsi="Calibri"/>
                <w:color w:val="192530"/>
                <w:sz w:val="18"/>
              </w:rPr>
              <w:t>The award requires contractor-furnished equipment. This extract does not determine whether the Contracting Officer may or should modify the order after completing the required analysis.</w:t>
            </w:r>
          </w:p>
        </w:tc>
      </w:tr>
    </w:tbl>
    <w:p>
      <w:pPr>
        <w:keepLines/>
        <w:spacing w:before="80" w:after="0" w:line="240" w:lineRule="auto"/>
      </w:pPr>
      <w:r>
        <w:rPr>
          <w:rFonts w:ascii="Calibri" w:hAnsi="Calibri"/>
          <w:b/>
          <w:color w:val="192530"/>
          <w:sz w:val="17"/>
        </w:rPr>
        <w:t xml:space="preserve">/s/ Helena Dolph Jackson  |  </w:t>
      </w:r>
      <w:r>
        <w:rPr>
          <w:rFonts w:ascii="Calibri" w:hAnsi="Calibri"/>
          <w:color w:val="192530"/>
          <w:sz w:val="17"/>
        </w:rPr>
        <w:t>Contracting Officer, 713 CONS - certified task-order extract  |  24 Aug 2027</w:t>
      </w:r>
    </w:p>
    <w:sectPr w:rsidR="00FC693F" w:rsidRPr="0006063C" w:rsidSect="00034616">
      <w:headerReference w:type="default" r:id="rId9"/>
      <w:footerReference w:type="default" r:id="rId10"/>
      <w:pgSz w:w="12240" w:h="15840"/>
      <w:pgMar w:top="792" w:right="1123" w:bottom="792" w:left="1123"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06A74"/>
        <w:sz w:val="17"/>
      </w:rPr>
      <w:t xml:space="preserve">J-04  |  CONTRACT EQUIPMENT PROVISION  |  DRAFT  |  Page </w:t>
    </w:r>
    <w:r>
      <w:rPr>
        <w:rFonts w:ascii="Calibri" w:hAnsi="Calibri"/>
        <w:color w:val="606A74"/>
        <w:sz w:val="17"/>
      </w:rPr>
      <w:fldChar w:fldCharType="begin"/>
      <w:instrText xml:space="preserve">PAGE</w:instrText>
      <w:fldChar w:fldCharType="separate"/>
      <w:t>1</w:t>
      <w:fldChar w:fldCharType="end"/>
    </w:r>
    <w:r>
      <w:rPr>
        <w:rFonts w:ascii="Calibri" w:hAnsi="Calibri"/>
        <w:color w:val="606A74"/>
        <w:sz w:val="17"/>
      </w:rPr>
      <w:t xml:space="preserve"> of </w:t>
    </w:r>
    <w:r>
      <w:rPr>
        <w:rFonts w:ascii="Calibri" w:hAnsi="Calibri"/>
        <w:color w:val="606A74"/>
        <w:sz w:val="17"/>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jc w:val="right"/>
    </w:pPr>
    <w:r>
      <w:rPr>
        <w:rFonts w:ascii="Calibri" w:hAnsi="Calibri"/>
        <w:b/>
        <w:color w:val="606A74"/>
        <w:sz w:val="17"/>
      </w:rPr>
      <w:t>EXERCISE USE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80" w:line="264" w:lineRule="auto"/>
    </w:pPr>
    <w:rPr>
      <w:rFonts w:ascii="Calibri" w:hAnsi="Calibri"/>
      <w:color w:val="192530"/>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J-04 Command Post Contractor-Furnished-Equipment Provision</dc:title>
  <dc:subject>Conformed task-order extract showing the contractor's equipment obligation and no GFP at award</dc:subject>
  <dc:creator>713th Contracting Squadron</dc:creator>
  <cp:keywords>training, government-furnished property, construction, forklift, Shadow Moses</cp:keywords>
  <dc:description>Exercise use only. All names, places, dates, records, equipment, and amounts are fictional.</dc:description>
  <cp:lastModifiedBy/>
  <cp:revision>1</cp:revision>
  <dcterms:created xsi:type="dcterms:W3CDTF">2013-12-23T23:15:00Z</dcterms:created>
  <dcterms:modified xsi:type="dcterms:W3CDTF">2013-12-23T23:15:00Z</dcterms:modified>
  <cp:category/>
</cp:coreProperties>
</file>