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Lines/>
        <w:spacing w:before="0" w:after="80" w:line="252" w:lineRule="auto"/>
      </w:pPr>
      <w:r>
        <w:rPr>
          <w:rFonts w:ascii="Calibri" w:hAnsi="Calibri"/>
          <w:b/>
          <w:color w:val="192530"/>
          <w:sz w:val="22"/>
        </w:rPr>
        <w:t xml:space="preserve">MEMORANDUM FOR: </w:t>
      </w:r>
      <w:r>
        <w:rPr>
          <w:rFonts w:ascii="Calibri" w:hAnsi="Calibri"/>
          <w:color w:val="192530"/>
          <w:sz w:val="22"/>
        </w:rPr>
        <w:t>Maj Emma Emmerich, Contracting Officer, 713 CONS</w:t>
      </w:r>
    </w:p>
    <w:p>
      <w:pPr>
        <w:keepLines/>
        <w:spacing w:before="0" w:after="80" w:line="252" w:lineRule="auto"/>
      </w:pPr>
      <w:r>
        <w:rPr>
          <w:rFonts w:ascii="Calibri" w:hAnsi="Calibri"/>
          <w:b/>
          <w:color w:val="192530"/>
          <w:sz w:val="22"/>
        </w:rPr>
        <w:t xml:space="preserve">FROM: </w:t>
      </w:r>
      <w:r>
        <w:rPr>
          <w:rFonts w:ascii="Calibri" w:hAnsi="Calibri"/>
          <w:color w:val="192530"/>
          <w:sz w:val="22"/>
        </w:rPr>
        <w:t>Regional Construction Labor Standards Advisor (exercise role)</w:t>
      </w:r>
    </w:p>
    <w:p>
      <w:pPr>
        <w:keepLines/>
        <w:spacing w:before="0" w:after="80" w:line="252" w:lineRule="auto"/>
      </w:pPr>
      <w:r>
        <w:rPr>
          <w:rFonts w:ascii="Calibri" w:hAnsi="Calibri"/>
          <w:b/>
          <w:color w:val="192530"/>
          <w:sz w:val="22"/>
        </w:rPr>
        <w:t xml:space="preserve">DATE: </w:t>
      </w:r>
      <w:r>
        <w:rPr>
          <w:rFonts w:ascii="Calibri" w:hAnsi="Calibri"/>
          <w:color w:val="192530"/>
          <w:sz w:val="22"/>
        </w:rPr>
        <w:t>13 September 2027</w:t>
      </w:r>
    </w:p>
    <w:p>
      <w:pPr>
        <w:keepLines/>
        <w:spacing w:before="0" w:after="160" w:line="252" w:lineRule="auto"/>
      </w:pPr>
      <w:r>
        <w:rPr>
          <w:rFonts w:ascii="Calibri" w:hAnsi="Calibri"/>
          <w:b/>
          <w:color w:val="192530"/>
          <w:sz w:val="22"/>
        </w:rPr>
        <w:t xml:space="preserve">SUBJECT: </w:t>
      </w:r>
      <w:r>
        <w:rPr>
          <w:rFonts w:ascii="Calibri" w:hAnsi="Calibri"/>
          <w:color w:val="192530"/>
          <w:sz w:val="22"/>
        </w:rPr>
        <w:t>Area-practice determination - Volgin Electrical crew, Task Order FA-27-005</w:t>
      </w:r>
    </w:p>
    <w:p>
      <w:pPr>
        <w:pStyle w:val="Heading1"/>
        <w:keepNext/>
      </w:pPr>
      <w:r>
        <w:t>Question presented</w:t>
      </w:r>
    </w:p>
    <w:p>
      <w:pPr>
        <w:keepLines/>
        <w:spacing w:before="0" w:after="120" w:line="264" w:lineRule="auto"/>
        <w:ind w:left="0"/>
      </w:pPr>
      <w:r>
        <w:rPr>
          <w:rFonts w:ascii="Calibri" w:hAnsi="Calibri"/>
          <w:color w:val="192530"/>
          <w:sz w:val="22"/>
        </w:rPr>
        <w:t>Which classification in fictional wage determination AK20270001 applies to the duties documented in K-05 and K-06, and is an additional-classification request required?</w:t>
      </w:r>
    </w:p>
    <w:p>
      <w:pPr>
        <w:pStyle w:val="Heading1"/>
        <w:keepNext/>
      </w:pPr>
      <w:r>
        <w:t>Determination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CLASSIFICATION: </w:t>
            </w:r>
            <w:r>
              <w:rPr>
                <w:rFonts w:ascii="Calibri" w:hAnsi="Calibri"/>
                <w:color w:val="192530"/>
                <w:sz w:val="18"/>
              </w:rPr>
              <w:t>For this exercise locality, installing and supporting raceway or conduit; pulling conductors; mounting electrical boxes, devices, panels, and related equipment; and making de-energized electrical terminations are performed by the ELECTRICIAN classification. General material handling, cleanup, and nonspecialized excavation are LABORER work.</w:t>
            </w:r>
          </w:p>
        </w:tc>
      </w:tr>
    </w:tbl>
    <w:p>
      <w:pPr>
        <w:keepLines/>
        <w:spacing w:before="0" w:after="120" w:line="264" w:lineRule="auto"/>
        <w:ind w:left="0"/>
      </w:pPr>
      <w:r>
        <w:rPr>
          <w:rFonts w:ascii="Calibri" w:hAnsi="Calibri"/>
          <w:color w:val="192530"/>
          <w:sz w:val="22"/>
        </w:rPr>
        <w:t>K-05 and K-06 establish 480 affected hours - four employees at 120 hours each - devoted to the listed electrical-installation duties. No split-classification laborer hours are documented for this period. Electrician already appears in the incorporated wage determination, so conformance of a missing classification is not required.</w:t>
      </w:r>
    </w:p>
    <w:p>
      <w:pPr>
        <w:keepLines/>
        <w:spacing w:before="0" w:after="120" w:line="264" w:lineRule="auto"/>
        <w:ind w:left="0"/>
      </w:pPr>
      <w:r>
        <w:rPr>
          <w:rFonts w:ascii="Calibri" w:hAnsi="Calibri"/>
          <w:color w:val="192530"/>
          <w:sz w:val="22"/>
        </w:rPr>
        <w:t>The employer's description of the workers as unlicensed helpers supervised by a foreman does not resolve the wage classification. FAR 52.222-6 requires the applicable rate for the classification of work actually performed without regard to skill. A worker may perform more than one classification only when the employer maintains accurate time records showing the hours in each classification; the current record does not present such mixed work.</w:t>
      </w:r>
    </w:p>
    <w:p>
      <w:pPr>
        <w:pStyle w:val="Heading1"/>
        <w:keepNext/>
      </w:pPr>
      <w:r>
        <w:t>Exercise calculation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540"/>
        <w:gridCol w:w="4220"/>
        <w:gridCol w:w="2600"/>
      </w:tblGrid>
      <w:tr>
        <w:trPr>
          <w:tblHeader w:val="true"/>
          <w:cantSplit/>
        </w:trPr>
        <w:tc>
          <w:tcPr>
            <w:tcW w:type="dxa" w:w="25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Element</w:t>
            </w:r>
          </w:p>
        </w:tc>
        <w:tc>
          <w:tcPr>
            <w:tcW w:type="dxa" w:w="42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Calculation</w:t>
            </w:r>
          </w:p>
        </w:tc>
        <w:tc>
          <w:tcPr>
            <w:tcW w:type="dxa" w:w="26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Amount</w:t>
            </w:r>
          </w:p>
        </w:tc>
      </w:tr>
      <w:tr>
        <w:trPr>
          <w:cantSplit/>
        </w:trPr>
        <w:tc>
          <w:tcPr>
            <w:tcW w:type="dxa" w:w="25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Affected hours</w:t>
            </w:r>
          </w:p>
        </w:tc>
        <w:tc>
          <w:tcPr>
            <w:tcW w:type="dxa" w:w="42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4 workers x 120 hours</w:t>
            </w:r>
          </w:p>
        </w:tc>
        <w:tc>
          <w:tcPr>
            <w:tcW w:type="dxa" w:w="2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480 hours</w:t>
            </w:r>
          </w:p>
        </w:tc>
      </w:tr>
      <w:tr>
        <w:trPr>
          <w:cantSplit/>
        </w:trPr>
        <w:tc>
          <w:tcPr>
            <w:tcW w:type="dxa" w:w="25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Required electrician package</w:t>
            </w:r>
          </w:p>
        </w:tc>
        <w:tc>
          <w:tcPr>
            <w:tcW w:type="dxa" w:w="42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$53.40 basic + $23.10 fringe</w:t>
            </w:r>
          </w:p>
        </w:tc>
        <w:tc>
          <w:tcPr>
            <w:tcW w:type="dxa" w:w="2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$76.50/hour</w:t>
            </w:r>
          </w:p>
        </w:tc>
      </w:tr>
      <w:tr>
        <w:trPr>
          <w:cantSplit/>
        </w:trPr>
        <w:tc>
          <w:tcPr>
            <w:tcW w:type="dxa" w:w="25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Reported laborer package</w:t>
            </w:r>
          </w:p>
        </w:tc>
        <w:tc>
          <w:tcPr>
            <w:tcW w:type="dxa" w:w="42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$31.20 basic + $15.60 fringe</w:t>
            </w:r>
          </w:p>
        </w:tc>
        <w:tc>
          <w:tcPr>
            <w:tcW w:type="dxa" w:w="2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$46.80/hour</w:t>
            </w:r>
          </w:p>
        </w:tc>
      </w:tr>
      <w:tr>
        <w:trPr>
          <w:cantSplit/>
        </w:trPr>
        <w:tc>
          <w:tcPr>
            <w:tcW w:type="dxa" w:w="25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Hourly deficiency</w:t>
            </w:r>
          </w:p>
        </w:tc>
        <w:tc>
          <w:tcPr>
            <w:tcW w:type="dxa" w:w="42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$76.50 - $46.80</w:t>
            </w:r>
          </w:p>
        </w:tc>
        <w:tc>
          <w:tcPr>
            <w:tcW w:type="dxa" w:w="2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$29.70/hour</w:t>
            </w:r>
          </w:p>
        </w:tc>
      </w:tr>
      <w:tr>
        <w:trPr>
          <w:cantSplit/>
        </w:trPr>
        <w:tc>
          <w:tcPr>
            <w:tcW w:type="dxa" w:w="254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ESTIMATED UNDERPAYMENT</w:t>
            </w:r>
          </w:p>
        </w:tc>
        <w:tc>
          <w:tcPr>
            <w:tcW w:type="dxa" w:w="422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480 x $29.70</w:t>
            </w:r>
          </w:p>
        </w:tc>
        <w:tc>
          <w:tcPr>
            <w:tcW w:type="dxa" w:w="26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$14,256.00</w:t>
            </w:r>
          </w:p>
        </w:tc>
      </w:tr>
    </w:tbl>
    <w:p>
      <w:pPr>
        <w:spacing w:before="80" w:after="0" w:line="240" w:lineRule="auto"/>
      </w:pPr>
      <w:r>
        <w:rPr>
          <w:rFonts w:ascii="Calibri" w:hAnsi="Calibri"/>
          <w:b/>
          <w:color w:val="606A74"/>
          <w:sz w:val="15"/>
        </w:rPr>
        <w:t xml:space="preserve">Source note: </w:t>
      </w:r>
      <w:r>
        <w:rPr>
          <w:rFonts w:ascii="Calibri" w:hAnsi="Calibri"/>
          <w:color w:val="606A74"/>
          <w:sz w:val="15"/>
        </w:rPr>
        <w:t>Sources: FAR 52.222-6; FAR 22.406-6 and 22.406-7; U.S. Department of Labor, Davis-Bacon conformance and area-practice guidance. DOL explains that classification scope is governed by local area practice rather than a single nationwide trade definition.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840"/>
        <w:gridCol w:w="4320"/>
        <w:gridCol w:w="2200"/>
      </w:tblGrid>
      <w:tr>
        <w:trPr>
          <w:tblHeader w:val="true"/>
          <w:cantSplit/>
        </w:trPr>
        <w:tc>
          <w:tcPr>
            <w:tcW w:type="dxa" w:w="28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Signed</w:t>
            </w:r>
          </w:p>
        </w:tc>
        <w:tc>
          <w:tcPr>
            <w:tcW w:type="dxa" w:w="43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Name / position</w:t>
            </w:r>
          </w:p>
        </w:tc>
        <w:tc>
          <w:tcPr>
            <w:tcW w:type="dxa" w:w="22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Date</w:t>
            </w:r>
          </w:p>
        </w:tc>
      </w:tr>
      <w:tr>
        <w:trPr>
          <w:cantSplit/>
        </w:trPr>
        <w:tc>
          <w:tcPr>
            <w:tcW w:type="dxa" w:w="28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Helen Szabo</w:t>
            </w:r>
          </w:p>
        </w:tc>
        <w:tc>
          <w:tcPr>
            <w:tcW w:type="dxa" w:w="4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Helen Szabo</w:t>
              <w:br/>
              <w:t>Regional Construction Labor Standards Advisor (exercise role)</w:t>
            </w:r>
          </w:p>
        </w:tc>
        <w:tc>
          <w:tcPr>
            <w:tcW w:type="dxa" w:w="2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13 Sep 2027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K-07  |  AREA-PRACTICE DETERMINATION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K-07 Labor Standards Area-Practice Determination</dc:title>
  <dc:subject>Exercise-specific classification determination and wage-deficiency calculation</dc:subject>
  <dc:creator>Regional Construction Labor Standards Advisor</dc:creator>
  <cp:keywords>training, construction wage rates, certified payroll, FAR 52.222-6, FAR 22.406</cp:keywords>
  <dc:description>Exercise use only. All names, places, dates, rates, and records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