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OUTER HEAVEN BUILDERS, LLC</w:t>
      </w:r>
    </w:p>
    <w:p>
      <w:pPr>
        <w:keepNext/>
        <w:spacing w:before="0" w:after="280"/>
        <w:jc w:val="center"/>
      </w:pPr>
      <w:r>
        <w:rPr>
          <w:rFonts w:ascii="Calibri" w:hAnsi="Calibri"/>
          <w:b/>
          <w:color w:val="606A74"/>
          <w:sz w:val="21"/>
        </w:rPr>
        <w:t>SHADOW MOSES AIR FIELD, ALASKA</w:t>
      </w:r>
    </w:p>
    <w:p>
      <w:pPr>
        <w:keepLines/>
        <w:spacing w:before="0" w:after="60" w:line="252" w:lineRule="auto"/>
      </w:pPr>
      <w:r>
        <w:rPr>
          <w:rFonts w:ascii="Calibri" w:hAnsi="Calibri"/>
          <w:b/>
          <w:color w:val="192530"/>
          <w:sz w:val="22"/>
        </w:rPr>
        <w:t xml:space="preserve">TO: </w:t>
      </w:r>
      <w:r>
        <w:rPr>
          <w:rFonts w:ascii="Calibri" w:hAnsi="Calibri"/>
          <w:color w:val="192530"/>
          <w:sz w:val="22"/>
        </w:rPr>
        <w:t>Maj Helena Dolph Jackson, Contracting Officer, 713 CONS</w:t>
      </w:r>
    </w:p>
    <w:p>
      <w:pPr>
        <w:keepLines/>
        <w:spacing w:before="0" w:after="60" w:line="252" w:lineRule="auto"/>
      </w:pPr>
      <w:r>
        <w:rPr>
          <w:rFonts w:ascii="Calibri" w:hAnsi="Calibri"/>
          <w:b/>
          <w:color w:val="192530"/>
          <w:sz w:val="22"/>
        </w:rPr>
        <w:t xml:space="preserve">FROM: </w:t>
      </w:r>
      <w:r>
        <w:rPr>
          <w:rFonts w:ascii="Calibri" w:hAnsi="Calibri"/>
          <w:color w:val="192530"/>
          <w:sz w:val="22"/>
        </w:rPr>
        <w:t>Robin Hale, Project Manager, Outer Heaven Builders, LLC</w:t>
      </w:r>
    </w:p>
    <w:p>
      <w:pPr>
        <w:keepLines/>
        <w:spacing w:before="0" w:after="60" w:line="252" w:lineRule="auto"/>
      </w:pPr>
      <w:r>
        <w:rPr>
          <w:rFonts w:ascii="Calibri" w:hAnsi="Calibri"/>
          <w:b/>
          <w:color w:val="192530"/>
          <w:sz w:val="22"/>
        </w:rPr>
        <w:t xml:space="preserve">DATE: </w:t>
      </w:r>
      <w:r>
        <w:rPr>
          <w:rFonts w:ascii="Calibri" w:hAnsi="Calibri"/>
          <w:color w:val="192530"/>
          <w:sz w:val="22"/>
        </w:rPr>
        <w:t>22 September 2027</w:t>
      </w:r>
    </w:p>
    <w:p>
      <w:pPr>
        <w:keepLines/>
        <w:spacing w:before="0" w:after="60" w:line="252" w:lineRule="auto"/>
      </w:pPr>
      <w:r>
        <w:rPr>
          <w:rFonts w:ascii="Calibri" w:hAnsi="Calibri"/>
          <w:b/>
          <w:color w:val="192530"/>
          <w:sz w:val="22"/>
        </w:rPr>
        <w:t xml:space="preserve">SUBJECT: </w:t>
      </w:r>
      <w:r>
        <w:rPr>
          <w:rFonts w:ascii="Calibri" w:hAnsi="Calibri"/>
          <w:color w:val="192530"/>
          <w:sz w:val="22"/>
        </w:rPr>
        <w:t>Transmittal - request for eleven-calendar-day weather extension</w:t>
      </w:r>
    </w:p>
    <w:p>
      <w:pPr>
        <w:keepLines/>
        <w:spacing w:before="0" w:after="140" w:line="252" w:lineRule="auto"/>
      </w:pPr>
      <w:r>
        <w:rPr>
          <w:rFonts w:ascii="Calibri" w:hAnsi="Calibri"/>
          <w:b/>
          <w:color w:val="192530"/>
          <w:sz w:val="22"/>
        </w:rPr>
        <w:t xml:space="preserve">REFERENCE: </w:t>
      </w:r>
      <w:r>
        <w:rPr>
          <w:rFonts w:ascii="Calibri" w:hAnsi="Calibri"/>
          <w:color w:val="192530"/>
          <w:sz w:val="22"/>
        </w:rPr>
        <w:t>SM-SABER-01 Task Order 27-064, Mother Base Community Support Center Roof Replacement</w:t>
      </w:r>
    </w:p>
    <w:p>
      <w:pPr>
        <w:pStyle w:val="Heading1"/>
        <w:keepNext/>
      </w:pPr>
      <w:r>
        <w:t>Prime-contractor transmittal</w:t>
      </w:r>
    </w:p>
    <w:p>
      <w:pPr>
        <w:keepLines/>
        <w:spacing w:before="0" w:after="100" w:line="264" w:lineRule="auto"/>
        <w:ind w:left="0"/>
      </w:pPr>
      <w:r>
        <w:rPr>
          <w:rFonts w:ascii="Calibri" w:hAnsi="Calibri"/>
          <w:color w:val="192530"/>
          <w:sz w:val="22"/>
        </w:rPr>
        <w:t>Outer Heaven Builders, LLC forwards the attached 20 September request from its roofing subcontractor, Diamond Dogs Roofing, LLC. Outer Heaven adopts the request as its own and asks the Contracting Officer to extend the task-order completion date by eleven calendar days. This transmittal does not create contractual privity between the Government and the subcontractor.</w:t>
      </w:r>
    </w:p>
    <w:p>
      <w:pPr>
        <w:keepLines/>
        <w:spacing w:before="0" w:after="100" w:line="264" w:lineRule="auto"/>
        <w:ind w:left="0"/>
      </w:pPr>
      <w:r>
        <w:rPr>
          <w:rFonts w:ascii="Calibri" w:hAnsi="Calibri"/>
          <w:color w:val="192530"/>
          <w:sz w:val="22"/>
        </w:rPr>
        <w:t>The request seeks time only and no price adjustment. Outer Heaven states that the eleven listed rain dates prevented safe roofing work and affected the planned roof dry-in sequence. The task order incorporates FAR 52.249-10, Default (Fixed-Price Construction), and FAR 52.211-12, Liquidated Damages - Construction; the complete incorporated clauses control.</w:t>
      </w:r>
    </w:p>
    <w:p>
      <w:pPr>
        <w:pStyle w:val="Heading1"/>
        <w:keepNext/>
      </w:pPr>
      <w:r>
        <w:t>Task-order time baseline</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580"/>
        <w:gridCol w:w="6780"/>
      </w:tblGrid>
      <w:tr>
        <w:trPr>
          <w:tblHeader w:val="true"/>
          <w:cantSplit/>
        </w:trPr>
        <w:tc>
          <w:tcPr>
            <w:tcW w:type="dxa" w:w="258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6"/>
              </w:rPr>
              <w:t>Record</w:t>
            </w:r>
          </w:p>
        </w:tc>
        <w:tc>
          <w:tcPr>
            <w:tcW w:type="dxa" w:w="678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6"/>
              </w:rPr>
              <w:t>Task-order value</w:t>
            </w:r>
          </w:p>
        </w:tc>
      </w:tr>
      <w:tr>
        <w:trPr>
          <w:cantSplit/>
        </w:trPr>
        <w:tc>
          <w:tcPr>
            <w:tcW w:type="dxa" w:w="25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Award / value</w:t>
            </w:r>
          </w:p>
        </w:tc>
        <w:tc>
          <w:tcPr>
            <w:tcW w:type="dxa" w:w="67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10 Aug 2027 / $5,180,000 firm-fixed price</w:t>
            </w:r>
          </w:p>
        </w:tc>
      </w:tr>
      <w:tr>
        <w:trPr>
          <w:cantSplit/>
        </w:trPr>
        <w:tc>
          <w:tcPr>
            <w:tcW w:type="dxa" w:w="25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Notice to proceed</w:t>
            </w:r>
          </w:p>
        </w:tc>
        <w:tc>
          <w:tcPr>
            <w:tcW w:type="dxa" w:w="67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16 Aug 2027</w:t>
            </w:r>
          </w:p>
        </w:tc>
      </w:tr>
      <w:tr>
        <w:trPr>
          <w:cantSplit/>
        </w:trPr>
        <w:tc>
          <w:tcPr>
            <w:tcW w:type="dxa" w:w="25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Performance period</w:t>
            </w:r>
          </w:p>
        </w:tc>
        <w:tc>
          <w:tcPr>
            <w:tcW w:type="dxa" w:w="67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75 calendar days after notice to proceed</w:t>
            </w:r>
          </w:p>
        </w:tc>
      </w:tr>
      <w:tr>
        <w:trPr>
          <w:cantSplit/>
        </w:trPr>
        <w:tc>
          <w:tcPr>
            <w:tcW w:type="dxa" w:w="25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Original completion</w:t>
            </w:r>
          </w:p>
        </w:tc>
        <w:tc>
          <w:tcPr>
            <w:tcW w:type="dxa" w:w="67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30 Oct 2027</w:t>
            </w:r>
          </w:p>
        </w:tc>
      </w:tr>
      <w:tr>
        <w:trPr>
          <w:cantSplit/>
        </w:trPr>
        <w:tc>
          <w:tcPr>
            <w:tcW w:type="dxa" w:w="25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Requested extension</w:t>
            </w:r>
          </w:p>
        </w:tc>
        <w:tc>
          <w:tcPr>
            <w:tcW w:type="dxa" w:w="67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11 calendar days</w:t>
            </w:r>
          </w:p>
        </w:tc>
      </w:tr>
      <w:tr>
        <w:trPr>
          <w:cantSplit/>
        </w:trPr>
        <w:tc>
          <w:tcPr>
            <w:tcW w:type="dxa" w:w="25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Requested completion</w:t>
            </w:r>
          </w:p>
        </w:tc>
        <w:tc>
          <w:tcPr>
            <w:tcW w:type="dxa" w:w="67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10 Nov 2027</w:t>
            </w:r>
          </w:p>
        </w:tc>
      </w:tr>
      <w:tr>
        <w:trPr>
          <w:cantSplit/>
        </w:trPr>
        <w:tc>
          <w:tcPr>
            <w:tcW w:type="dxa" w:w="25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Liquidated-damages rate</w:t>
            </w:r>
          </w:p>
        </w:tc>
        <w:tc>
          <w:tcPr>
            <w:tcW w:type="dxa" w:w="678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$8,500 for each calendar day of unexcused delay after 30 Oct 2027</w:t>
            </w:r>
          </w:p>
        </w:tc>
      </w:tr>
    </w:tbl>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8F1DD"/>
            <w:vAlign w:val="center"/>
            <w:tcMar>
              <w:top w:w="100" w:type="dxa"/>
              <w:bottom w:w="100" w:type="dxa"/>
              <w:start w:w="120" w:type="dxa"/>
              <w:end w:w="120" w:type="dxa"/>
            </w:tcMar>
          </w:tcPr>
          <w:p>
            <w:pPr>
              <w:keepLines/>
              <w:spacing w:before="40" w:after="40" w:line="252" w:lineRule="auto"/>
            </w:pPr>
            <w:r>
              <w:rPr>
                <w:rFonts w:ascii="Calibri" w:hAnsi="Calibri"/>
                <w:b/>
                <w:color w:val="2E74B5"/>
                <w:sz w:val="18"/>
              </w:rPr>
              <w:t xml:space="preserve">REQUESTED ACTION: </w:t>
            </w:r>
            <w:r>
              <w:rPr>
                <w:rFonts w:ascii="Calibri" w:hAnsi="Calibri"/>
                <w:color w:val="192530"/>
                <w:sz w:val="18"/>
              </w:rPr>
              <w:t>Determine whether the eleven dates qualify for a noncompensable time extension. Outer Heaven asks that the original completion date remain unchanged unless and until the Contracting Officer executes a written modification.</w:t>
            </w:r>
          </w:p>
        </w:tc>
      </w:tr>
    </w:tbl>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840"/>
        <w:gridCol w:w="4320"/>
        <w:gridCol w:w="2200"/>
      </w:tblGrid>
      <w:tr>
        <w:trPr>
          <w:tblHeader w:val="true"/>
          <w:cantSplit/>
        </w:trPr>
        <w:tc>
          <w:tcPr>
            <w:tcW w:type="dxa" w:w="2840"/>
            <w:shd w:fill="E8EEF5"/>
            <w:vAlign w:val="center"/>
            <w:tcMar>
              <w:top w:w="100" w:type="dxa"/>
              <w:bottom w:w="100" w:type="dxa"/>
              <w:start w:w="120" w:type="dxa"/>
              <w:end w:w="120" w:type="dxa"/>
            </w:tcMar>
          </w:tcPr>
          <w:p>
            <w:pPr>
              <w:keepLines/>
              <w:spacing w:before="20" w:after="20" w:line="240" w:lineRule="auto"/>
              <w:jc w:val="center"/>
            </w:pPr>
            <w:r/>
            <w:r>
              <w:rPr>
                <w:rFonts w:ascii="Calibri" w:hAnsi="Calibri"/>
                <w:b/>
                <w:color w:val="192530"/>
                <w:sz w:val="17"/>
              </w:rPr>
              <w:t>Signed</w:t>
            </w:r>
          </w:p>
        </w:tc>
        <w:tc>
          <w:tcPr>
            <w:tcW w:type="dxa" w:w="432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7"/>
              </w:rPr>
              <w:t>Name / position</w:t>
            </w:r>
          </w:p>
        </w:tc>
        <w:tc>
          <w:tcPr>
            <w:tcW w:type="dxa" w:w="2200"/>
            <w:shd w:fill="E8EEF5"/>
            <w:vAlign w:val="center"/>
            <w:tcMar>
              <w:top w:w="100" w:type="dxa"/>
              <w:bottom w:w="100" w:type="dxa"/>
              <w:start w:w="120" w:type="dxa"/>
              <w:end w:w="120" w:type="dxa"/>
            </w:tcMar>
          </w:tcPr>
          <w:p>
            <w:pPr>
              <w:keepLines/>
              <w:spacing w:before="20" w:after="20" w:line="240" w:lineRule="auto"/>
              <w:jc w:val="center"/>
            </w:pPr>
            <w:r/>
            <w:r>
              <w:rPr>
                <w:rFonts w:ascii="Calibri" w:hAnsi="Calibri"/>
                <w:b/>
                <w:color w:val="192530"/>
                <w:sz w:val="17"/>
              </w:rPr>
              <w:t>Date</w:t>
            </w:r>
          </w:p>
        </w:tc>
      </w:tr>
      <w:tr>
        <w:trPr>
          <w:cantSplit/>
        </w:trPr>
        <w:tc>
          <w:tcPr>
            <w:tcW w:type="dxa" w:w="2840"/>
            <w:vAlign w:val="center"/>
            <w:tcMar>
              <w:top w:w="100" w:type="dxa"/>
              <w:bottom w:w="100" w:type="dxa"/>
              <w:start w:w="120" w:type="dxa"/>
              <w:end w:w="120" w:type="dxa"/>
            </w:tcMar>
          </w:tcPr>
          <w:p>
            <w:pPr>
              <w:keepLines/>
              <w:spacing w:before="20" w:after="20" w:line="240" w:lineRule="auto"/>
              <w:jc w:val="center"/>
            </w:pPr>
            <w:r/>
            <w:r>
              <w:rPr>
                <w:rFonts w:ascii="Calibri" w:hAnsi="Calibri"/>
                <w:b w:val="0"/>
                <w:color w:val="192530"/>
                <w:sz w:val="17"/>
              </w:rPr>
              <w:t>/s/ Robin Hale</w:t>
            </w:r>
          </w:p>
        </w:tc>
        <w:tc>
          <w:tcPr>
            <w:tcW w:type="dxa" w:w="432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7"/>
              </w:rPr>
              <w:t>Robin Hale</w:t>
              <w:br/>
              <w:t>Project Manager, Outer Heaven Builders, LLC</w:t>
            </w:r>
          </w:p>
        </w:tc>
        <w:tc>
          <w:tcPr>
            <w:tcW w:type="dxa" w:w="2200"/>
            <w:vAlign w:val="center"/>
            <w:tcMar>
              <w:top w:w="100" w:type="dxa"/>
              <w:bottom w:w="100" w:type="dxa"/>
              <w:start w:w="120" w:type="dxa"/>
              <w:end w:w="120" w:type="dxa"/>
            </w:tcMar>
          </w:tcPr>
          <w:p>
            <w:pPr>
              <w:keepLines/>
              <w:spacing w:before="20" w:after="20" w:line="240" w:lineRule="auto"/>
              <w:jc w:val="center"/>
            </w:pPr>
            <w:r/>
            <w:r>
              <w:rPr>
                <w:rFonts w:ascii="Calibri" w:hAnsi="Calibri"/>
                <w:b w:val="0"/>
                <w:color w:val="192530"/>
                <w:sz w:val="17"/>
              </w:rPr>
              <w:t>22 Sep 2027</w:t>
            </w:r>
          </w:p>
        </w:tc>
      </w:tr>
    </w:tbl>
    <w:p>
      <w:r>
        <w:br w:type="page"/>
      </w:r>
    </w:p>
    <w:p>
      <w:pPr>
        <w:keepNext/>
        <w:spacing w:before="100" w:after="40"/>
        <w:jc w:val="center"/>
      </w:pPr>
      <w:r>
        <w:rPr>
          <w:rFonts w:ascii="Calibri" w:hAnsi="Calibri"/>
          <w:b/>
          <w:color w:val="192530"/>
          <w:sz w:val="32"/>
        </w:rPr>
        <w:t>DIAMOND DOGS ROOFING, LLC</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SUBCONTRACTOR WEATHER-DELAY REQUEST</w:t>
      </w:r>
    </w:p>
    <w:p>
      <w:pPr>
        <w:keepNext/>
        <w:spacing w:before="0" w:after="200"/>
        <w:jc w:val="center"/>
      </w:pPr>
      <w:r>
        <w:rPr>
          <w:rFonts w:ascii="Calibri" w:hAnsi="Calibri"/>
          <w:b/>
          <w:color w:val="606A74"/>
          <w:sz w:val="21"/>
        </w:rPr>
        <w:t>Submitted to Outer Heaven Builders, LLC | Community Support Center roof replacement</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Request date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20 September 2027</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Reporting period</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1-16 September 2027</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Requested relief</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Eleven-calendar-day, noncompensable extension</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Prime contract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SM-SABER-01 Task Order 27-064; original completion 30 October 2027</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Supporting record</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Outer Heaven daily reports DR-09-01 through DR-09-16 and selected photographs</w:t>
            </w:r>
          </w:p>
        </w:tc>
      </w:tr>
    </w:tbl>
    <w:p>
      <w:pPr>
        <w:pStyle w:val="Heading1"/>
        <w:keepNext/>
      </w:pPr>
      <w:r>
        <w:t>Claimed interruption dates</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1050"/>
        <w:gridCol w:w="3150"/>
        <w:gridCol w:w="5160"/>
      </w:tblGrid>
      <w:tr>
        <w:trPr>
          <w:tblHeader w:val="true"/>
          <w:cantSplit/>
        </w:trPr>
        <w:tc>
          <w:tcPr>
            <w:tcW w:type="dxa" w:w="105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4"/>
              </w:rPr>
              <w:t>Date</w:t>
            </w:r>
          </w:p>
        </w:tc>
        <w:tc>
          <w:tcPr>
            <w:tcW w:type="dxa" w:w="315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4"/>
              </w:rPr>
              <w:t>Scheduled roofing activity</w:t>
            </w:r>
          </w:p>
        </w:tc>
        <w:tc>
          <w:tcPr>
            <w:tcW w:type="dxa" w:w="516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4"/>
              </w:rPr>
              <w:t>Daily-report statement</w:t>
            </w:r>
          </w:p>
        </w:tc>
      </w:tr>
      <w:tr>
        <w:trPr>
          <w:cantSplit/>
        </w:trPr>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1 Sep</w:t>
            </w:r>
          </w:p>
        </w:tc>
        <w:tc>
          <w:tcPr>
            <w:tcW w:type="dxa" w:w="31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Existing membrane removal</w:t>
            </w:r>
          </w:p>
        </w:tc>
        <w:tc>
          <w:tcPr>
            <w:tcW w:type="dxa" w:w="51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Full roofing shift stopped; wet surface and standing water</w:t>
            </w:r>
          </w:p>
        </w:tc>
      </w:tr>
      <w:tr>
        <w:trPr>
          <w:cantSplit/>
        </w:trPr>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2 Sep</w:t>
            </w:r>
          </w:p>
        </w:tc>
        <w:tc>
          <w:tcPr>
            <w:tcW w:type="dxa" w:w="31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Insulation removal / deck exposure</w:t>
            </w:r>
          </w:p>
        </w:tc>
        <w:tc>
          <w:tcPr>
            <w:tcW w:type="dxa" w:w="51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Full roofing shift stopped; wet deck could not be exposed</w:t>
            </w:r>
          </w:p>
        </w:tc>
      </w:tr>
      <w:tr>
        <w:trPr>
          <w:cantSplit/>
        </w:trPr>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3 Sep</w:t>
            </w:r>
          </w:p>
        </w:tc>
        <w:tc>
          <w:tcPr>
            <w:tcW w:type="dxa" w:w="31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Deck preparation</w:t>
            </w:r>
          </w:p>
        </w:tc>
        <w:tc>
          <w:tcPr>
            <w:tcW w:type="dxa" w:w="51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Full roofing shift stopped; water remained in low areas</w:t>
            </w:r>
          </w:p>
        </w:tc>
      </w:tr>
      <w:tr>
        <w:trPr>
          <w:cantSplit/>
        </w:trPr>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7 Sep</w:t>
            </w:r>
          </w:p>
        </w:tc>
        <w:tc>
          <w:tcPr>
            <w:tcW w:type="dxa" w:w="31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Vapor-retarder placement</w:t>
            </w:r>
          </w:p>
        </w:tc>
        <w:tc>
          <w:tcPr>
            <w:tcW w:type="dxa" w:w="51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Full roofing shift stopped; substrate remained damp</w:t>
            </w:r>
          </w:p>
        </w:tc>
      </w:tr>
      <w:tr>
        <w:trPr>
          <w:cantSplit/>
        </w:trPr>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8 Sep</w:t>
            </w:r>
          </w:p>
        </w:tc>
        <w:tc>
          <w:tcPr>
            <w:tcW w:type="dxa" w:w="31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Insulation placement</w:t>
            </w:r>
          </w:p>
        </w:tc>
        <w:tc>
          <w:tcPr>
            <w:tcW w:type="dxa" w:w="51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Full roofing shift stopped; materials kept covered</w:t>
            </w:r>
          </w:p>
        </w:tc>
      </w:tr>
      <w:tr>
        <w:trPr>
          <w:cantSplit/>
        </w:trPr>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9 Sep</w:t>
            </w:r>
          </w:p>
        </w:tc>
        <w:tc>
          <w:tcPr>
            <w:tcW w:type="dxa" w:w="31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Membrane installation</w:t>
            </w:r>
          </w:p>
        </w:tc>
        <w:tc>
          <w:tcPr>
            <w:tcW w:type="dxa" w:w="51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Full roofing shift stopped; surface water continued</w:t>
            </w:r>
          </w:p>
        </w:tc>
      </w:tr>
      <w:tr>
        <w:trPr>
          <w:cantSplit/>
        </w:trPr>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10 Sep</w:t>
            </w:r>
          </w:p>
        </w:tc>
        <w:tc>
          <w:tcPr>
            <w:tcW w:type="dxa" w:w="31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Membrane installation</w:t>
            </w:r>
          </w:p>
        </w:tc>
        <w:tc>
          <w:tcPr>
            <w:tcW w:type="dxa" w:w="51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Full roofing shift stopped; adhesion conditions not met</w:t>
            </w:r>
          </w:p>
        </w:tc>
      </w:tr>
      <w:tr>
        <w:trPr>
          <w:cantSplit/>
        </w:trPr>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13 Sep</w:t>
            </w:r>
          </w:p>
        </w:tc>
        <w:tc>
          <w:tcPr>
            <w:tcW w:type="dxa" w:w="31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Membrane seams / flashing</w:t>
            </w:r>
          </w:p>
        </w:tc>
        <w:tc>
          <w:tcPr>
            <w:tcW w:type="dxa" w:w="51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Full roofing shift stopped; rain and wet work surface</w:t>
            </w:r>
          </w:p>
        </w:tc>
      </w:tr>
      <w:tr>
        <w:trPr>
          <w:cantSplit/>
        </w:trPr>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14 Sep</w:t>
            </w:r>
          </w:p>
        </w:tc>
        <w:tc>
          <w:tcPr>
            <w:tcW w:type="dxa" w:w="31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Perimeter and curb flashing</w:t>
            </w:r>
          </w:p>
        </w:tc>
        <w:tc>
          <w:tcPr>
            <w:tcW w:type="dxa" w:w="51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Full roofing shift stopped; standing water at drains</w:t>
            </w:r>
          </w:p>
        </w:tc>
      </w:tr>
      <w:tr>
        <w:trPr>
          <w:cantSplit/>
        </w:trPr>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15 Sep</w:t>
            </w:r>
          </w:p>
        </w:tc>
        <w:tc>
          <w:tcPr>
            <w:tcW w:type="dxa" w:w="31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Roof dry-in progression</w:t>
            </w:r>
          </w:p>
        </w:tc>
        <w:tc>
          <w:tcPr>
            <w:tcW w:type="dxa" w:w="51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Full roofing shift stopped; work area remained wet</w:t>
            </w:r>
          </w:p>
        </w:tc>
      </w:tr>
      <w:tr>
        <w:trPr>
          <w:cantSplit/>
        </w:trPr>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16 Sep</w:t>
            </w:r>
          </w:p>
        </w:tc>
        <w:tc>
          <w:tcPr>
            <w:tcW w:type="dxa" w:w="31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Roof dry-in progression</w:t>
            </w:r>
          </w:p>
        </w:tc>
        <w:tc>
          <w:tcPr>
            <w:tcW w:type="dxa" w:w="51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4"/>
              </w:rPr>
              <w:t>Full roofing shift stopped; rain during planned shift</w:t>
            </w:r>
          </w:p>
        </w:tc>
      </w:tr>
    </w:tbl>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2F4F7"/>
            <w:vAlign w:val="center"/>
            <w:tcMar>
              <w:top w:w="100" w:type="dxa"/>
              <w:bottom w:w="100" w:type="dxa"/>
              <w:start w:w="120" w:type="dxa"/>
              <w:end w:w="120" w:type="dxa"/>
            </w:tcMar>
          </w:tcPr>
          <w:p>
            <w:pPr>
              <w:keepLines/>
              <w:spacing w:before="40" w:after="40" w:line="252" w:lineRule="auto"/>
            </w:pPr>
            <w:r>
              <w:rPr>
                <w:rFonts w:ascii="Calibri" w:hAnsi="Calibri"/>
                <w:b/>
                <w:color w:val="2E74B5"/>
                <w:sz w:val="18"/>
              </w:rPr>
              <w:t xml:space="preserve">SUBCONTRACTOR POSITION: </w:t>
            </w:r>
            <w:r>
              <w:rPr>
                <w:rFonts w:ascii="Calibri" w:hAnsi="Calibri"/>
                <w:color w:val="192530"/>
                <w:sz w:val="18"/>
              </w:rPr>
              <w:t>Each listed date prevented a full planned roofing shift. Diamond Dogs Roofing therefore requests one calendar day for each affected date and asks Outer Heaven Builders to obtain an eleven-calendar-day extension from the Government.</w:t>
            </w:r>
          </w:p>
        </w:tc>
      </w:tr>
    </w:tbl>
    <w:p>
      <w:pPr>
        <w:keepLines/>
        <w:spacing w:before="80" w:after="0" w:line="240" w:lineRule="auto"/>
      </w:pPr>
      <w:r>
        <w:rPr>
          <w:rFonts w:ascii="Calibri" w:hAnsi="Calibri"/>
          <w:b/>
          <w:color w:val="192530"/>
          <w:sz w:val="17"/>
        </w:rPr>
        <w:t xml:space="preserve">/s/ Evan Brooks  |  </w:t>
      </w:r>
      <w:r>
        <w:rPr>
          <w:rFonts w:ascii="Calibri" w:hAnsi="Calibri"/>
          <w:color w:val="192530"/>
          <w:sz w:val="17"/>
        </w:rPr>
        <w:t>Project Manager, Diamond Dogs Roofing, LLC  |  20 Sep 2027</w:t>
      </w:r>
    </w:p>
    <w:p>
      <w:pPr>
        <w:spacing w:before="80" w:after="0" w:line="240" w:lineRule="auto"/>
      </w:pPr>
      <w:r>
        <w:rPr>
          <w:rFonts w:ascii="Calibri" w:hAnsi="Calibri"/>
          <w:b/>
          <w:color w:val="606A74"/>
          <w:sz w:val="15"/>
        </w:rPr>
        <w:t xml:space="preserve">Record note: </w:t>
      </w:r>
      <w:r>
        <w:rPr>
          <w:rFonts w:ascii="Calibri" w:hAnsi="Calibri"/>
          <w:color w:val="606A74"/>
          <w:sz w:val="15"/>
        </w:rPr>
        <w:t>This subcontractor request is attached to and adopted by Outer Heaven's transmittal on page 1.</w:t>
      </w:r>
    </w:p>
    <w:sectPr w:rsidR="00FC693F" w:rsidRPr="0006063C" w:rsidSect="00034616">
      <w:headerReference w:type="default" r:id="rId9"/>
      <w:footerReference w:type="default" r:id="rId10"/>
      <w:pgSz w:w="12240" w:h="15840"/>
      <w:pgMar w:top="792" w:right="1123" w:bottom="792" w:left="1123"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64" w:lineRule="auto"/>
    </w:pPr>
    <w:rPr>
      <w:rFonts w:ascii="Calibri" w:hAnsi="Calibri"/>
      <w:color w:val="192530"/>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L-01 Outer Heaven Weather Extension Transmittal</dc:title>
  <dc:subject>Prime-contractor transmittal, roofing-subcontractor request, and task-order completion baseline</dc:subject>
  <dc:creator>Outer Heaven Builders, LLC</dc:creator>
  <cp:keywords>training, construction, adverse weather, schedule, excusable delay, FAR 52.249-10</cp:keywords>
  <dc:description>Exercise use only. All names, places, dates, photographs, records, and amounts are fictional.</dc:description>
  <cp:lastModifiedBy/>
  <cp:revision>1</cp:revision>
  <dcterms:created xsi:type="dcterms:W3CDTF">2013-12-23T23:15:00Z</dcterms:created>
  <dcterms:modified xsi:type="dcterms:W3CDTF">2013-12-23T23:15:00Z</dcterms:modified>
  <cp:category/>
</cp:coreProperties>
</file>