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430"/>
        <w:gridCol w:w="7430"/>
      </w:tblGrid>
      <w:tr>
        <w:tc>
          <w:tcPr>
            <w:tcW w:type="dxa" w:w="11736"/>
            <w:shd w:fill="173B4D"/>
            <w:tcMar>
              <w:top w:w="52" w:type="dxa"/>
              <w:start w:w="85" w:type="dxa"/>
              <w:bottom w:w="52" w:type="dxa"/>
              <w:end w:w="85" w:type="dxa"/>
            </w:tcMar>
            <w:tcBorders>
              <w:bottom w:val="single" w:sz="10" w:color="173B4D"/>
            </w:tcBorders>
          </w:tcPr>
          <w:p>
            <w:pPr>
              <w:spacing w:before="0" w:after="0" w:line="228" w:lineRule="auto"/>
              <w:jc w:val="left"/>
            </w:pPr>
            <w:r>
              <w:rPr>
                <w:rFonts w:ascii="Arial" w:hAnsi="Arial"/>
                <w:color w:val="FFFFFF"/>
                <w:sz w:val="17"/>
              </w:rPr>
            </w:r>
            <w:r>
              <w:rPr>
                <w:rFonts w:ascii="Arial" w:hAnsi="Arial"/>
                <w:b/>
                <w:i w:val="0"/>
                <w:color w:val="FFFFFF"/>
                <w:sz w:val="17"/>
              </w:rPr>
              <w:t>M-04  |  BASE REACTIVATION PACKET</w:t>
            </w:r>
          </w:p>
        </w:tc>
        <w:tc>
          <w:tcPr>
            <w:tcW w:type="dxa" w:w="3096"/>
            <w:shd w:fill="173B4D"/>
            <w:tcMar>
              <w:top w:w="52" w:type="dxa"/>
              <w:start w:w="85" w:type="dxa"/>
              <w:bottom w:w="52" w:type="dxa"/>
              <w:end w:w="85" w:type="dxa"/>
            </w:tcMar>
            <w:tcBorders>
              <w:bottom w:val="single" w:sz="10" w:color="173B4D"/>
            </w:tcBorders>
          </w:tcPr>
          <w:p>
            <w:pPr>
              <w:spacing w:before="0" w:after="0" w:line="228" w:lineRule="auto"/>
              <w:jc w:val="right"/>
            </w:pPr>
            <w:r>
              <w:rPr>
                <w:rFonts w:ascii="Arial" w:hAnsi="Arial"/>
                <w:color w:val="FFFFFF"/>
                <w:sz w:val="17"/>
              </w:rPr>
            </w:r>
            <w:r>
              <w:rPr>
                <w:rFonts w:ascii="Arial" w:hAnsi="Arial"/>
                <w:b/>
                <w:i w:val="0"/>
                <w:color w:val="FFFFFF"/>
                <w:sz w:val="17"/>
              </w:rPr>
              <w:t>TRAINING USE ONLY</w:t>
            </w:r>
          </w:p>
        </w:tc>
      </w:tr>
    </w:tbl>
    <w:p>
      <w:pPr>
        <w:spacing w:before="140" w:after="20" w:line="230" w:lineRule="auto"/>
        <w:jc w:val="left"/>
      </w:pPr>
      <w:r>
        <w:rPr>
          <w:rFonts w:ascii="Arial" w:hAnsi="Arial"/>
          <w:b/>
          <w:i w:val="0"/>
          <w:color w:val="526B77"/>
          <w:sz w:val="14"/>
        </w:rPr>
        <w:t>ORGANIZATION  |  PROGRAM MONTH 3</w:t>
      </w:r>
    </w:p>
    <w:p>
      <w:pPr>
        <w:spacing w:before="0" w:after="20" w:line="230" w:lineRule="auto"/>
        <w:jc w:val="left"/>
      </w:pPr>
      <w:r>
        <w:rPr>
          <w:rFonts w:ascii="Arial" w:hAnsi="Arial"/>
          <w:b/>
          <w:i w:val="0"/>
          <w:color w:val="173B4D"/>
          <w:sz w:val="39"/>
        </w:rPr>
        <w:t>713TH AIR BASE WING — ORGANIZATION CHART</w:t>
      </w:r>
    </w:p>
    <w:p>
      <w:pPr>
        <w:spacing w:before="0" w:after="100" w:line="230" w:lineRule="auto"/>
        <w:jc w:val="left"/>
      </w:pPr>
      <w:r>
        <w:rPr>
          <w:rFonts w:ascii="Arial" w:hAnsi="Arial"/>
          <w:b w:val="0"/>
          <w:i w:val="0"/>
          <w:color w:val="6F7F86"/>
          <w:sz w:val="16"/>
        </w:rPr>
        <w:t>Shadow Moses Air Field  |  Operation NORTHERN LANTERN  |  Exercise-start structure</w:t>
      </w:r>
    </w:p>
    <w:tbl>
      <w:tblPr>
        <w:tblW w:type="auto" w:w="0"/>
        <w:jc w:val="center"/>
        <w:tblLook w:firstColumn="1" w:firstRow="1" w:lastColumn="0" w:lastRow="0" w:noHBand="0" w:noVBand="1" w:val="04A0"/>
      </w:tblPr>
      <w:tblGrid>
        <w:gridCol w:w="14860"/>
      </w:tblGrid>
      <w:tr>
        <w:tc>
          <w:tcPr>
            <w:tcW w:type="dxa" w:w="14860"/>
            <w:shd w:fill="EAF1F4"/>
            <w:tcMar>
              <w:top w:w="48" w:type="dxa"/>
              <w:start w:w="92" w:type="dxa"/>
              <w:bottom w:w="48" w:type="dxa"/>
              <w:end w:w="92" w:type="dxa"/>
            </w:tcMar>
            <w:tcBorders>
              <w:start w:val="single" w:sz="18" w:color="2D6B78"/>
              <w:top w:val="nil"/>
              <w:bottom w:val="nil"/>
              <w:end w:val="nil"/>
            </w:tcBorders>
          </w:tcPr>
          <w:p>
            <w:pPr>
              <w:spacing w:before="0" w:after="0" w:line="240" w:lineRule="auto"/>
            </w:pPr>
            <w:r/>
            <w:r>
              <w:rPr>
                <w:rFonts w:ascii="Aptos" w:hAnsi="Aptos"/>
                <w:b/>
                <w:color w:val="1B3C4C"/>
                <w:sz w:val="15"/>
              </w:rPr>
              <w:t xml:space="preserve">HOST-WING MODEL.  </w:t>
            </w:r>
            <w:r>
              <w:rPr>
                <w:rFonts w:ascii="Aptos" w:hAnsi="Aptos"/>
                <w:b w:val="0"/>
                <w:color w:val="26363F"/>
                <w:sz w:val="14"/>
              </w:rPr>
              <w:t>The 713th Air Base Wing operates the installation and maintains an Operations Group for the airfield, weather, and transient or rotational aircraft. No permanently assigned flying wing or standing Maintenance Group is modeled; limited transient servicing is assigned below, and fuels remain in 713 LRS.</w:t>
            </w:r>
          </w:p>
        </w:tc>
      </w:tr>
    </w:tbl>
    <w:p>
      <w:pPr>
        <w:spacing w:before="100" w:after="40"/>
        <w:jc w:val="center"/>
      </w:pPr>
      <w:r>
        <w:rPr>
          <w:rFonts w:ascii="Arial" w:hAnsi="Arial"/>
          <w:b/>
          <w:i w:val="0"/>
          <w:color w:val="6F7F86"/>
          <w:sz w:val="13"/>
        </w:rPr>
        <w:t>COMMAND</w:t>
      </w:r>
    </w:p>
    <w:tbl>
      <w:tblPr>
        <w:tblW w:type="auto" w:w="0"/>
        <w:jc w:val="center"/>
        <w:tblLook w:firstColumn="1" w:firstRow="1" w:lastColumn="0" w:lastRow="0" w:noHBand="0" w:noVBand="1" w:val="04A0"/>
      </w:tblPr>
      <w:tblGrid>
        <w:gridCol w:w="14860"/>
      </w:tblGrid>
      <w:tr>
        <w:tc>
          <w:tcPr>
            <w:tcW w:type="dxa" w:w="10368"/>
            <w:shd w:fill="173B4D"/>
            <w:tcBorders>
              <w:top w:val="single" w:sz="8" w:color="173B4D"/>
              <w:bottom w:val="single" w:sz="8" w:color="173B4D"/>
              <w:start w:val="single" w:sz="8" w:color="173B4D"/>
              <w:end w:val="single" w:sz="8" w:color="173B4D"/>
            </w:tcBorders>
            <w:tcMar>
              <w:top w:w="78" w:type="dxa"/>
              <w:start w:w="100" w:type="dxa"/>
              <w:bottom w:w="72" w:type="dxa"/>
              <w:end w:w="100" w:type="dxa"/>
            </w:tcMar>
          </w:tcPr>
          <w:p>
            <w:pPr>
              <w:spacing w:before="0" w:after="0" w:line="223" w:lineRule="auto"/>
              <w:jc w:val="center"/>
            </w:pPr>
            <w:r>
              <w:rPr>
                <w:rFonts w:ascii="Arial" w:hAnsi="Arial"/>
                <w:color w:val="FFFFFF"/>
                <w:sz w:val="15"/>
              </w:rPr>
            </w:r>
            <w:r>
              <w:rPr>
                <w:rFonts w:ascii="Arial" w:hAnsi="Arial"/>
                <w:b/>
                <w:i w:val="0"/>
                <w:color w:val="FFFFFF"/>
                <w:sz w:val="15"/>
              </w:rPr>
              <w:t>713TH AIR BASE WING  (713 ABW)</w:t>
            </w:r>
            <w:r>
              <w:rPr>
                <w:rFonts w:ascii="Arial" w:hAnsi="Arial"/>
                <w:b w:val="0"/>
                <w:i w:val="0"/>
                <w:color w:val="FFFFFF"/>
                <w:sz w:val="15"/>
              </w:rPr>
              <w:br/>
              <w:t>Col Roy Campbell — Commander (CC) and Installation Activation Director</w:t>
            </w:r>
            <w:r>
              <w:rPr>
                <w:rFonts w:ascii="Arial" w:hAnsi="Arial"/>
                <w:b w:val="0"/>
                <w:i w:val="0"/>
                <w:color w:val="FFFFFF"/>
                <w:sz w:val="15"/>
              </w:rPr>
              <w:br/>
              <w:t>Deputy Commander (CD) • Command Chief (CCC)</w:t>
            </w:r>
          </w:p>
        </w:tc>
      </w:tr>
    </w:tbl>
    <w:p>
      <w:pPr>
        <w:spacing w:before="20" w:after="20"/>
        <w:jc w:val="center"/>
      </w:pPr>
      <w:r>
        <w:rPr>
          <w:rFonts w:ascii="Arial" w:hAnsi="Arial"/>
          <w:b/>
          <w:i w:val="0"/>
          <w:color w:val="2D6B78"/>
          <w:sz w:val="20"/>
        </w:rPr>
        <w:t>▼</w:t>
      </w:r>
    </w:p>
    <w:tbl>
      <w:tblPr>
        <w:tblW w:type="dxa" w:w="14860"/>
        <w:jc w:val="center"/>
        <w:tblLayout w:type="fixed"/>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7430"/>
        <w:gridCol w:w="7430"/>
      </w:tblGrid>
      <w:tr>
        <w:tc>
          <w:tcPr>
            <w:tcW w:type="dxa" w:w="7430"/>
            <w:tcMar>
              <w:top w:w="55" w:type="dxa"/>
              <w:bottom w:w="55" w:type="dxa"/>
              <w:start w:w="85" w:type="dxa"/>
              <w:end w:w="85" w:type="dxa"/>
            </w:tcMar>
            <w:vAlign w:val="top"/>
          </w:tcPr>
          <w:p/>
          <w:tbl>
            <w:tblPr>
              <w:tblW w:type="dxa" w:w="7260"/>
              <w:jc w:val="center"/>
              <w:tblLayout w:type="fixed"/>
              <w:tblLook w:firstColumn="1" w:firstRow="1" w:lastColumn="0" w:lastRow="0" w:noHBand="0" w:noVBand="1" w:val="04A0"/>
              <w:tblBorders>
                <w:top w:val="single" w:sz="5" w:color="A8B7BE"/>
                <w:left w:val="single" w:sz="5" w:color="A8B7BE"/>
                <w:bottom w:val="single" w:sz="5" w:color="A8B7BE"/>
                <w:right w:val="single" w:sz="5" w:color="A8B7BE"/>
                <w:insideH w:val="single" w:sz="5" w:color="A8B7BE"/>
                <w:insideV w:val="single" w:sz="5" w:color="A8B7BE"/>
              </w:tblBorders>
            </w:tblPr>
            <w:tblGrid>
              <w:gridCol w:w="7260"/>
            </w:tblGrid>
            <w:tr>
              <w:tc>
                <w:tcPr>
                  <w:tcW w:type="dxa" w:w="7260"/>
                  <w:tcMar>
                    <w:top w:w="55" w:type="dxa"/>
                    <w:bottom w:w="55" w:type="dxa"/>
                    <w:start w:w="85" w:type="dxa"/>
                    <w:end w:w="85" w:type="dxa"/>
                  </w:tcMar>
                  <w:vAlign w:val="top"/>
                  <w:shd w:fill="347783"/>
                </w:tcPr>
                <w:p>
                  <w:pPr>
                    <w:spacing w:before="0" w:after="0" w:line="228" w:lineRule="auto"/>
                    <w:jc w:val="center"/>
                  </w:pPr>
                  <w:r>
                    <w:rPr>
                      <w:rFonts w:ascii="Aptos" w:hAnsi="Aptos"/>
                      <w:b/>
                      <w:color w:val="FFFFFF"/>
                      <w:sz w:val="16"/>
                    </w:rPr>
                    <w:t>WING STAFF &amp; DIRECT REPORTS</w:t>
                  </w:r>
                  <w:r>
                    <w:br/>
                  </w:r>
                  <w:r>
                    <w:rPr>
                      <w:rFonts w:ascii="Aptos" w:hAnsi="Aptos"/>
                      <w:b w:val="0"/>
                      <w:color w:val="FFFFFF"/>
                      <w:sz w:val="14"/>
                    </w:rPr>
                    <w:t>Wing-level agencies and command functions</w:t>
                  </w:r>
                </w:p>
              </w:tc>
            </w:tr>
            <w:tr>
              <w:tc>
                <w:tcPr>
                  <w:tcW w:type="dxa" w:w="7260"/>
                  <w:tcMar>
                    <w:top w:w="55" w:type="dxa"/>
                    <w:bottom w:w="55" w:type="dxa"/>
                    <w:start w:w="85" w:type="dxa"/>
                    <w:end w:w="85" w:type="dxa"/>
                  </w:tcMar>
                  <w:vAlign w:val="top"/>
                  <w:shd w:fill="F3F6F7"/>
                </w:tcPr>
                <w:p>
                  <w:pPr>
                    <w:spacing w:before="0" w:after="0" w:line="221" w:lineRule="auto"/>
                    <w:jc w:val="center"/>
                  </w:pPr>
                  <w:r>
                    <w:rPr>
                      <w:rFonts w:ascii="Aptos" w:hAnsi="Aptos"/>
                      <w:b/>
                      <w:color w:val="26363F"/>
                      <w:sz w:val="14"/>
                    </w:rPr>
                    <w:t>INSTALLATION ACTIVATION OFFICE  (IAO)</w:t>
                  </w:r>
                  <w:r>
                    <w:br/>
                  </w:r>
                  <w:r>
                    <w:rPr>
                      <w:rFonts w:ascii="Aptos" w:hAnsi="Aptos"/>
                      <w:b w:val="0"/>
                      <w:color w:val="26363F"/>
                      <w:sz w:val="13"/>
                    </w:rPr>
                    <w:t>Portfolio integration • activation milestones</w:t>
                  </w:r>
                </w:p>
              </w:tc>
            </w:tr>
            <w:tr>
              <w:tc>
                <w:tcPr>
                  <w:tcW w:type="dxa" w:w="7260"/>
                  <w:tcMar>
                    <w:top w:w="55" w:type="dxa"/>
                    <w:bottom w:w="55" w:type="dxa"/>
                    <w:start w:w="85" w:type="dxa"/>
                    <w:end w:w="85" w:type="dxa"/>
                  </w:tcMar>
                  <w:vAlign w:val="top"/>
                  <w:shd w:fill="F4F6F7"/>
                </w:tcPr>
                <w:p>
                  <w:pPr>
                    <w:spacing w:before="0" w:after="0" w:line="221" w:lineRule="auto"/>
                    <w:jc w:val="center"/>
                  </w:pPr>
                  <w:r>
                    <w:rPr>
                      <w:rFonts w:ascii="Aptos" w:hAnsi="Aptos"/>
                      <w:b/>
                      <w:color w:val="26363F"/>
                      <w:sz w:val="14"/>
                    </w:rPr>
                    <w:t>WING COMMAND POST  (CP)</w:t>
                  </w:r>
                  <w:r>
                    <w:br/>
                  </w:r>
                  <w:r>
                    <w:rPr>
                      <w:rFonts w:ascii="Aptos" w:hAnsi="Aptos"/>
                      <w:b w:val="0"/>
                      <w:color w:val="26363F"/>
                      <w:sz w:val="13"/>
                    </w:rPr>
                    <w:t>Command and control • notifications</w:t>
                  </w:r>
                </w:p>
              </w:tc>
            </w:tr>
            <w:tr>
              <w:tc>
                <w:tcPr>
                  <w:tcW w:type="dxa" w:w="7260"/>
                  <w:tcMar>
                    <w:top w:w="55" w:type="dxa"/>
                    <w:bottom w:w="55" w:type="dxa"/>
                    <w:start w:w="85" w:type="dxa"/>
                    <w:end w:w="85" w:type="dxa"/>
                  </w:tcMar>
                  <w:vAlign w:val="top"/>
                  <w:shd w:fill="F3F6F7"/>
                </w:tcPr>
                <w:p>
                  <w:pPr>
                    <w:spacing w:before="0" w:after="0" w:line="221" w:lineRule="auto"/>
                    <w:jc w:val="center"/>
                  </w:pPr>
                  <w:r>
                    <w:rPr>
                      <w:rFonts w:ascii="Aptos" w:hAnsi="Aptos"/>
                      <w:b/>
                      <w:color w:val="26363F"/>
                      <w:sz w:val="14"/>
                    </w:rPr>
                    <w:t>WING STAFF AGENCIES</w:t>
                  </w:r>
                  <w:r>
                    <w:br/>
                  </w:r>
                  <w:r>
                    <w:rPr>
                      <w:rFonts w:ascii="Aptos" w:hAnsi="Aptos"/>
                      <w:b w:val="0"/>
                      <w:color w:val="26363F"/>
                      <w:sz w:val="13"/>
                    </w:rPr>
                    <w:t>JA • IG • Safety • PA • Chaplain • EO</w:t>
                  </w:r>
                </w:p>
              </w:tc>
            </w:tr>
          </w:tbl>
          <w:p>
            <w:pPr>
              <w:spacing w:before="0" w:after="0"/>
            </w:pPr>
            <w:r>
              <w:rPr>
                <w:rFonts w:ascii="Aptos" w:hAnsi="Aptos"/>
                <w:b w:val="0"/>
                <w:color w:val="64747C"/>
                <w:sz w:val="2"/>
              </w:rPr>
            </w:r>
          </w:p>
        </w:tc>
        <w:tc>
          <w:tcPr>
            <w:tcW w:type="dxa" w:w="7430"/>
            <w:tcMar>
              <w:top w:w="55" w:type="dxa"/>
              <w:bottom w:w="55" w:type="dxa"/>
              <w:start w:w="85" w:type="dxa"/>
              <w:end w:w="85" w:type="dxa"/>
            </w:tcMar>
            <w:vAlign w:val="top"/>
          </w:tcPr>
          <w:p/>
          <w:tbl>
            <w:tblPr>
              <w:tblW w:type="dxa" w:w="7260"/>
              <w:jc w:val="center"/>
              <w:tblLayout w:type="fixed"/>
              <w:tblLook w:firstColumn="1" w:firstRow="1" w:lastColumn="0" w:lastRow="0" w:noHBand="0" w:noVBand="1" w:val="04A0"/>
              <w:tblBorders>
                <w:top w:val="single" w:sz="5" w:color="A8B7BE"/>
                <w:left w:val="single" w:sz="5" w:color="A8B7BE"/>
                <w:bottom w:val="single" w:sz="5" w:color="A8B7BE"/>
                <w:right w:val="single" w:sz="5" w:color="A8B7BE"/>
                <w:insideH w:val="single" w:sz="5" w:color="A8B7BE"/>
                <w:insideV w:val="single" w:sz="5" w:color="A8B7BE"/>
              </w:tblBorders>
            </w:tblPr>
            <w:tblGrid>
              <w:gridCol w:w="7260"/>
            </w:tblGrid>
            <w:tr>
              <w:tc>
                <w:tcPr>
                  <w:tcW w:type="dxa" w:w="7260"/>
                  <w:tcMar>
                    <w:top w:w="55" w:type="dxa"/>
                    <w:bottom w:w="55" w:type="dxa"/>
                    <w:start w:w="85" w:type="dxa"/>
                    <w:end w:w="85" w:type="dxa"/>
                  </w:tcMar>
                  <w:vAlign w:val="top"/>
                  <w:shd w:fill="193F50"/>
                </w:tcPr>
                <w:p>
                  <w:pPr>
                    <w:spacing w:before="0" w:after="0" w:line="228" w:lineRule="auto"/>
                    <w:jc w:val="center"/>
                  </w:pPr>
                  <w:r>
                    <w:rPr>
                      <w:rFonts w:ascii="Aptos" w:hAnsi="Aptos"/>
                      <w:b/>
                      <w:color w:val="FFFFFF"/>
                      <w:sz w:val="16"/>
                    </w:rPr>
                    <w:t>713TH OPERATIONS GROUP  (OG)</w:t>
                  </w:r>
                  <w:r>
                    <w:br/>
                  </w:r>
                  <w:r>
                    <w:rPr>
                      <w:rFonts w:ascii="Aptos" w:hAnsi="Aptos"/>
                      <w:b w:val="0"/>
                      <w:color w:val="FFFFFF"/>
                      <w:sz w:val="14"/>
                    </w:rPr>
                    <w:t>Airfield, weather, and transient-aircraft operations</w:t>
                  </w:r>
                </w:p>
              </w:tc>
            </w:tr>
            <w:tr>
              <w:tc>
                <w:tcPr>
                  <w:tcW w:type="dxa" w:w="7260"/>
                  <w:tcMar>
                    <w:top w:w="55" w:type="dxa"/>
                    <w:bottom w:w="55" w:type="dxa"/>
                    <w:start w:w="85" w:type="dxa"/>
                    <w:end w:w="85" w:type="dxa"/>
                  </w:tcMar>
                  <w:vAlign w:val="top"/>
                  <w:shd w:fill="EAF1F4"/>
                </w:tcPr>
                <w:p>
                  <w:pPr>
                    <w:spacing w:before="0" w:after="0" w:line="221" w:lineRule="auto"/>
                    <w:jc w:val="center"/>
                  </w:pPr>
                  <w:r>
                    <w:rPr>
                      <w:rFonts w:ascii="Aptos" w:hAnsi="Aptos"/>
                      <w:b/>
                      <w:color w:val="26363F"/>
                      <w:sz w:val="14"/>
                    </w:rPr>
                    <w:t>713TH AIRFIELD OPERATIONS SQUADRON  (AOS)</w:t>
                  </w:r>
                  <w:r>
                    <w:br/>
                  </w:r>
                  <w:r>
                    <w:rPr>
                      <w:rFonts w:ascii="Aptos" w:hAnsi="Aptos"/>
                      <w:b w:val="0"/>
                      <w:color w:val="26363F"/>
                      <w:sz w:val="13"/>
                    </w:rPr>
                    <w:t>Airfield Management • ATC • airfield systems</w:t>
                  </w:r>
                </w:p>
              </w:tc>
            </w:tr>
            <w:tr>
              <w:tc>
                <w:tcPr>
                  <w:tcW w:type="dxa" w:w="7260"/>
                  <w:tcMar>
                    <w:top w:w="55" w:type="dxa"/>
                    <w:bottom w:w="55" w:type="dxa"/>
                    <w:start w:w="85" w:type="dxa"/>
                    <w:end w:w="85" w:type="dxa"/>
                  </w:tcMar>
                  <w:vAlign w:val="top"/>
                  <w:shd w:fill="F4F6F7"/>
                </w:tcPr>
                <w:p>
                  <w:pPr>
                    <w:spacing w:before="0" w:after="0" w:line="221" w:lineRule="auto"/>
                    <w:jc w:val="center"/>
                  </w:pPr>
                  <w:r>
                    <w:rPr>
                      <w:rFonts w:ascii="Aptos" w:hAnsi="Aptos"/>
                      <w:b/>
                      <w:color w:val="26363F"/>
                      <w:sz w:val="14"/>
                    </w:rPr>
                    <w:t>713TH WEATHER SQUADRON  (WS)</w:t>
                  </w:r>
                  <w:r>
                    <w:br/>
                  </w:r>
                  <w:r>
                    <w:rPr>
                      <w:rFonts w:ascii="Aptos" w:hAnsi="Aptos"/>
                      <w:b w:val="0"/>
                      <w:color w:val="26363F"/>
                      <w:sz w:val="13"/>
                    </w:rPr>
                    <w:t>Observations • forecasts • warnings • mission weather</w:t>
                  </w:r>
                </w:p>
              </w:tc>
            </w:tr>
            <w:tr>
              <w:tc>
                <w:tcPr>
                  <w:tcW w:type="dxa" w:w="7260"/>
                  <w:tcMar>
                    <w:top w:w="55" w:type="dxa"/>
                    <w:bottom w:w="55" w:type="dxa"/>
                    <w:start w:w="85" w:type="dxa"/>
                    <w:end w:w="85" w:type="dxa"/>
                  </w:tcMar>
                  <w:vAlign w:val="top"/>
                  <w:shd w:fill="EAF1F4"/>
                </w:tcPr>
                <w:p>
                  <w:pPr>
                    <w:spacing w:before="0" w:after="0" w:line="221" w:lineRule="auto"/>
                    <w:jc w:val="center"/>
                  </w:pPr>
                  <w:r>
                    <w:rPr>
                      <w:rFonts w:ascii="Aptos" w:hAnsi="Aptos"/>
                      <w:b/>
                      <w:color w:val="26363F"/>
                      <w:sz w:val="14"/>
                    </w:rPr>
                    <w:t>713TH OPERATIONS SUPPORT SQUADRON  (OSS)</w:t>
                  </w:r>
                  <w:r>
                    <w:br/>
                  </w:r>
                  <w:r>
                    <w:rPr>
                      <w:rFonts w:ascii="Aptos" w:hAnsi="Aptos"/>
                      <w:b w:val="0"/>
                      <w:color w:val="26363F"/>
                      <w:sz w:val="13"/>
                    </w:rPr>
                    <w:t>Operations plans • scheduling • aircrew support</w:t>
                  </w:r>
                </w:p>
              </w:tc>
            </w:tr>
            <w:tr>
              <w:tc>
                <w:tcPr>
                  <w:tcW w:type="dxa" w:w="7260"/>
                  <w:tcMar>
                    <w:top w:w="55" w:type="dxa"/>
                    <w:bottom w:w="55" w:type="dxa"/>
                    <w:start w:w="85" w:type="dxa"/>
                    <w:end w:w="85" w:type="dxa"/>
                  </w:tcMar>
                  <w:vAlign w:val="top"/>
                  <w:shd w:fill="F4F6F7"/>
                </w:tcPr>
                <w:p>
                  <w:pPr>
                    <w:spacing w:before="0" w:after="0" w:line="221" w:lineRule="auto"/>
                    <w:jc w:val="center"/>
                  </w:pPr>
                  <w:r>
                    <w:rPr>
                      <w:rFonts w:ascii="Aptos" w:hAnsi="Aptos"/>
                      <w:b/>
                      <w:color w:val="26363F"/>
                      <w:sz w:val="14"/>
                    </w:rPr>
                    <w:t>713TH TRANSIENT AIRCRAFT SUPPORT SQUADRON  (TASS)</w:t>
                  </w:r>
                  <w:r>
                    <w:br/>
                  </w:r>
                  <w:r>
                    <w:rPr>
                      <w:rFonts w:ascii="Aptos" w:hAnsi="Aptos"/>
                      <w:b w:val="0"/>
                      <w:color w:val="26363F"/>
                      <w:sz w:val="13"/>
                    </w:rPr>
                    <w:t>Transient alert • limited maintenance and servicing • launch and recovery</w:t>
                  </w:r>
                </w:p>
              </w:tc>
            </w:tr>
          </w:tbl>
          <w:p>
            <w:pPr>
              <w:spacing w:before="0" w:after="0"/>
            </w:pPr>
            <w:r>
              <w:rPr>
                <w:rFonts w:ascii="Aptos" w:hAnsi="Aptos"/>
                <w:b w:val="0"/>
                <w:color w:val="64747C"/>
                <w:sz w:val="2"/>
              </w:rPr>
            </w:r>
          </w:p>
        </w:tc>
      </w:tr>
      <w:tr>
        <w:tc>
          <w:tcPr>
            <w:tcW w:type="dxa" w:w="7430"/>
            <w:tcMar>
              <w:top w:w="55" w:type="dxa"/>
              <w:bottom w:w="55" w:type="dxa"/>
              <w:start w:w="85" w:type="dxa"/>
              <w:end w:w="85" w:type="dxa"/>
            </w:tcMar>
            <w:vAlign w:val="top"/>
          </w:tcPr>
          <w:p/>
          <w:tbl>
            <w:tblPr>
              <w:tblW w:type="dxa" w:w="7260"/>
              <w:jc w:val="center"/>
              <w:tblLayout w:type="fixed"/>
              <w:tblLook w:firstColumn="1" w:firstRow="1" w:lastColumn="0" w:lastRow="0" w:noHBand="0" w:noVBand="1" w:val="04A0"/>
              <w:tblBorders>
                <w:top w:val="single" w:sz="5" w:color="A8B7BE"/>
                <w:left w:val="single" w:sz="5" w:color="A8B7BE"/>
                <w:bottom w:val="single" w:sz="5" w:color="A8B7BE"/>
                <w:right w:val="single" w:sz="5" w:color="A8B7BE"/>
                <w:insideH w:val="single" w:sz="5" w:color="A8B7BE"/>
                <w:insideV w:val="single" w:sz="5" w:color="A8B7BE"/>
              </w:tblBorders>
            </w:tblPr>
            <w:tblGrid>
              <w:gridCol w:w="7260"/>
            </w:tblGrid>
            <w:tr>
              <w:tc>
                <w:tcPr>
                  <w:tcW w:type="dxa" w:w="7260"/>
                  <w:tcMar>
                    <w:top w:w="55" w:type="dxa"/>
                    <w:bottom w:w="55" w:type="dxa"/>
                    <w:start w:w="85" w:type="dxa"/>
                    <w:end w:w="85" w:type="dxa"/>
                  </w:tcMar>
                  <w:vAlign w:val="top"/>
                  <w:shd w:fill="193F50"/>
                </w:tcPr>
                <w:p>
                  <w:pPr>
                    <w:spacing w:before="0" w:after="0" w:line="228" w:lineRule="auto"/>
                    <w:jc w:val="center"/>
                  </w:pPr>
                  <w:r>
                    <w:rPr>
                      <w:rFonts w:ascii="Aptos" w:hAnsi="Aptos"/>
                      <w:b/>
                      <w:color w:val="FFFFFF"/>
                      <w:sz w:val="16"/>
                    </w:rPr>
                    <w:t>713TH MISSION SUPPORT GROUP  (MSG)</w:t>
                  </w:r>
                  <w:r>
                    <w:br/>
                  </w:r>
                  <w:r>
                    <w:rPr>
                      <w:rFonts w:ascii="Aptos" w:hAnsi="Aptos"/>
                      <w:b w:val="0"/>
                      <w:color w:val="FFFFFF"/>
                      <w:sz w:val="14"/>
                    </w:rPr>
                    <w:t>Installation support, protection, and sustainment</w:t>
                  </w:r>
                </w:p>
              </w:tc>
            </w:tr>
            <w:tr>
              <w:tc>
                <w:tcPr>
                  <w:tcW w:type="dxa" w:w="7260"/>
                  <w:tcMar>
                    <w:top w:w="55" w:type="dxa"/>
                    <w:bottom w:w="55" w:type="dxa"/>
                    <w:start w:w="85" w:type="dxa"/>
                    <w:end w:w="85" w:type="dxa"/>
                  </w:tcMar>
                  <w:vAlign w:val="top"/>
                  <w:shd w:fill="EAF1F4"/>
                </w:tcPr>
                <w:p>
                  <w:pPr>
                    <w:spacing w:before="0" w:after="0" w:line="221" w:lineRule="auto"/>
                    <w:jc w:val="center"/>
                  </w:pPr>
                  <w:r>
                    <w:rPr>
                      <w:rFonts w:ascii="Aptos" w:hAnsi="Aptos"/>
                      <w:b/>
                      <w:color w:val="26363F"/>
                      <w:sz w:val="14"/>
                    </w:rPr>
                    <w:t>713TH CIVIL ENGINEER SQUADRON  (CES)</w:t>
                  </w:r>
                  <w:r>
                    <w:br/>
                  </w:r>
                  <w:r>
                    <w:rPr>
                      <w:rFonts w:ascii="Aptos" w:hAnsi="Aptos"/>
                      <w:b w:val="0"/>
                      <w:color w:val="26363F"/>
                      <w:sz w:val="13"/>
                    </w:rPr>
                    <w:t>Engineering • Fire • utilities • construction support</w:t>
                  </w:r>
                </w:p>
              </w:tc>
            </w:tr>
            <w:tr>
              <w:tc>
                <w:tcPr>
                  <w:tcW w:type="dxa" w:w="7260"/>
                  <w:tcMar>
                    <w:top w:w="55" w:type="dxa"/>
                    <w:bottom w:w="55" w:type="dxa"/>
                    <w:start w:w="85" w:type="dxa"/>
                    <w:end w:w="85" w:type="dxa"/>
                  </w:tcMar>
                  <w:vAlign w:val="top"/>
                  <w:shd w:fill="F4F6F7"/>
                </w:tcPr>
                <w:p>
                  <w:pPr>
                    <w:spacing w:before="0" w:after="0" w:line="221" w:lineRule="auto"/>
                    <w:jc w:val="center"/>
                  </w:pPr>
                  <w:r>
                    <w:rPr>
                      <w:rFonts w:ascii="Aptos" w:hAnsi="Aptos"/>
                      <w:b/>
                      <w:color w:val="26363F"/>
                      <w:sz w:val="14"/>
                    </w:rPr>
                    <w:t>713TH CONTRACTING SQUADRON  (CONS)</w:t>
                  </w:r>
                  <w:r>
                    <w:br/>
                  </w:r>
                  <w:r>
                    <w:rPr>
                      <w:rFonts w:ascii="Aptos" w:hAnsi="Aptos"/>
                      <w:b w:val="0"/>
                      <w:color w:val="26363F"/>
                      <w:sz w:val="13"/>
                    </w:rPr>
                    <w:t>Acquisition planning • award • administration</w:t>
                  </w:r>
                </w:p>
              </w:tc>
            </w:tr>
            <w:tr>
              <w:tc>
                <w:tcPr>
                  <w:tcW w:type="dxa" w:w="7260"/>
                  <w:tcMar>
                    <w:top w:w="55" w:type="dxa"/>
                    <w:bottom w:w="55" w:type="dxa"/>
                    <w:start w:w="85" w:type="dxa"/>
                    <w:end w:w="85" w:type="dxa"/>
                  </w:tcMar>
                  <w:vAlign w:val="top"/>
                  <w:shd w:fill="EAF1F4"/>
                </w:tcPr>
                <w:p>
                  <w:pPr>
                    <w:spacing w:before="0" w:after="0" w:line="221" w:lineRule="auto"/>
                    <w:jc w:val="center"/>
                  </w:pPr>
                  <w:r>
                    <w:rPr>
                      <w:rFonts w:ascii="Aptos" w:hAnsi="Aptos"/>
                      <w:b/>
                      <w:color w:val="26363F"/>
                      <w:sz w:val="14"/>
                    </w:rPr>
                    <w:t>713TH COMPTROLLER SQUADRON  (CPTS)</w:t>
                  </w:r>
                  <w:r>
                    <w:br/>
                  </w:r>
                  <w:r>
                    <w:rPr>
                      <w:rFonts w:ascii="Aptos" w:hAnsi="Aptos"/>
                      <w:b w:val="0"/>
                      <w:color w:val="26363F"/>
                      <w:sz w:val="13"/>
                    </w:rPr>
                    <w:t>Financial Management • funds certification • accounting</w:t>
                  </w:r>
                </w:p>
              </w:tc>
            </w:tr>
            <w:tr>
              <w:tc>
                <w:tcPr>
                  <w:tcW w:type="dxa" w:w="7260"/>
                  <w:tcMar>
                    <w:top w:w="55" w:type="dxa"/>
                    <w:bottom w:w="55" w:type="dxa"/>
                    <w:start w:w="85" w:type="dxa"/>
                    <w:end w:w="85" w:type="dxa"/>
                  </w:tcMar>
                  <w:vAlign w:val="top"/>
                  <w:shd w:fill="F4F6F7"/>
                </w:tcPr>
                <w:p>
                  <w:pPr>
                    <w:spacing w:before="0" w:after="0" w:line="221" w:lineRule="auto"/>
                    <w:jc w:val="center"/>
                  </w:pPr>
                  <w:r>
                    <w:rPr>
                      <w:rFonts w:ascii="Aptos" w:hAnsi="Aptos"/>
                      <w:b/>
                      <w:color w:val="26363F"/>
                      <w:sz w:val="14"/>
                    </w:rPr>
                    <w:t>713TH COMMUNICATIONS SQUADRON  (CS)</w:t>
                  </w:r>
                  <w:r>
                    <w:br/>
                  </w:r>
                  <w:r>
                    <w:rPr>
                      <w:rFonts w:ascii="Aptos" w:hAnsi="Aptos"/>
                      <w:b w:val="0"/>
                      <w:color w:val="26363F"/>
                      <w:sz w:val="13"/>
                    </w:rPr>
                    <w:t>Networks • radio • cyber support</w:t>
                  </w:r>
                </w:p>
              </w:tc>
            </w:tr>
            <w:tr>
              <w:tc>
                <w:tcPr>
                  <w:tcW w:type="dxa" w:w="7260"/>
                  <w:tcMar>
                    <w:top w:w="55" w:type="dxa"/>
                    <w:bottom w:w="55" w:type="dxa"/>
                    <w:start w:w="85" w:type="dxa"/>
                    <w:end w:w="85" w:type="dxa"/>
                  </w:tcMar>
                  <w:vAlign w:val="top"/>
                  <w:shd w:fill="EAF1F4"/>
                </w:tcPr>
                <w:p>
                  <w:pPr>
                    <w:spacing w:before="0" w:after="0" w:line="221" w:lineRule="auto"/>
                    <w:jc w:val="center"/>
                  </w:pPr>
                  <w:r>
                    <w:rPr>
                      <w:rFonts w:ascii="Aptos" w:hAnsi="Aptos"/>
                      <w:b/>
                      <w:color w:val="26363F"/>
                      <w:sz w:val="14"/>
                    </w:rPr>
                    <w:t>713TH FORCE SUPPORT SQUADRON  (FSS)</w:t>
                  </w:r>
                  <w:r>
                    <w:br/>
                  </w:r>
                  <w:r>
                    <w:rPr>
                      <w:rFonts w:ascii="Aptos" w:hAnsi="Aptos"/>
                      <w:b w:val="0"/>
                      <w:color w:val="26363F"/>
                      <w:sz w:val="13"/>
                    </w:rPr>
                    <w:t>Personnel • lodging • dining • recreation</w:t>
                  </w:r>
                </w:p>
              </w:tc>
            </w:tr>
            <w:tr>
              <w:tc>
                <w:tcPr>
                  <w:tcW w:type="dxa" w:w="7260"/>
                  <w:tcMar>
                    <w:top w:w="55" w:type="dxa"/>
                    <w:bottom w:w="55" w:type="dxa"/>
                    <w:start w:w="85" w:type="dxa"/>
                    <w:end w:w="85" w:type="dxa"/>
                  </w:tcMar>
                  <w:vAlign w:val="top"/>
                  <w:shd w:fill="F4F6F7"/>
                </w:tcPr>
                <w:p>
                  <w:pPr>
                    <w:spacing w:before="0" w:after="0" w:line="221" w:lineRule="auto"/>
                    <w:jc w:val="center"/>
                  </w:pPr>
                  <w:r>
                    <w:rPr>
                      <w:rFonts w:ascii="Aptos" w:hAnsi="Aptos"/>
                      <w:b/>
                      <w:color w:val="26363F"/>
                      <w:sz w:val="14"/>
                    </w:rPr>
                    <w:t>713TH LOGISTICS READINESS SQUADRON  (LRS)</w:t>
                  </w:r>
                  <w:r>
                    <w:br/>
                  </w:r>
                  <w:r>
                    <w:rPr>
                      <w:rFonts w:ascii="Aptos" w:hAnsi="Aptos"/>
                      <w:b w:val="0"/>
                      <w:color w:val="26363F"/>
                      <w:sz w:val="13"/>
                    </w:rPr>
                    <w:t>Supply • transportation • fuels • Government property</w:t>
                  </w:r>
                </w:p>
              </w:tc>
            </w:tr>
            <w:tr>
              <w:tc>
                <w:tcPr>
                  <w:tcW w:type="dxa" w:w="7260"/>
                  <w:tcMar>
                    <w:top w:w="55" w:type="dxa"/>
                    <w:bottom w:w="55" w:type="dxa"/>
                    <w:start w:w="85" w:type="dxa"/>
                    <w:end w:w="85" w:type="dxa"/>
                  </w:tcMar>
                  <w:vAlign w:val="top"/>
                  <w:shd w:fill="EAF1F4"/>
                </w:tcPr>
                <w:p>
                  <w:pPr>
                    <w:spacing w:before="0" w:after="0" w:line="221" w:lineRule="auto"/>
                    <w:jc w:val="center"/>
                  </w:pPr>
                  <w:r>
                    <w:rPr>
                      <w:rFonts w:ascii="Aptos" w:hAnsi="Aptos"/>
                      <w:b/>
                      <w:color w:val="26363F"/>
                      <w:sz w:val="14"/>
                    </w:rPr>
                    <w:t>713TH SECURITY FORCES SQUADRON  (SFS)</w:t>
                  </w:r>
                  <w:r>
                    <w:br/>
                  </w:r>
                  <w:r>
                    <w:rPr>
                      <w:rFonts w:ascii="Aptos" w:hAnsi="Aptos"/>
                      <w:b w:val="0"/>
                      <w:color w:val="26363F"/>
                      <w:sz w:val="13"/>
                    </w:rPr>
                    <w:t>Installation security • antiterrorism • access control</w:t>
                  </w:r>
                </w:p>
              </w:tc>
            </w:tr>
          </w:tbl>
          <w:p>
            <w:pPr>
              <w:spacing w:before="0" w:after="0"/>
            </w:pPr>
            <w:r>
              <w:rPr>
                <w:rFonts w:ascii="Aptos" w:hAnsi="Aptos"/>
                <w:b w:val="0"/>
                <w:color w:val="64747C"/>
                <w:sz w:val="2"/>
              </w:rPr>
            </w:r>
          </w:p>
        </w:tc>
        <w:tc>
          <w:tcPr>
            <w:tcW w:type="dxa" w:w="7430"/>
            <w:tcMar>
              <w:top w:w="55" w:type="dxa"/>
              <w:bottom w:w="55" w:type="dxa"/>
              <w:start w:w="85" w:type="dxa"/>
              <w:end w:w="85" w:type="dxa"/>
            </w:tcMar>
            <w:vAlign w:val="top"/>
          </w:tcPr>
          <w:p/>
          <w:tbl>
            <w:tblPr>
              <w:tblW w:type="dxa" w:w="7260"/>
              <w:jc w:val="center"/>
              <w:tblLayout w:type="fixed"/>
              <w:tblLook w:firstColumn="1" w:firstRow="1" w:lastColumn="0" w:lastRow="0" w:noHBand="0" w:noVBand="1" w:val="04A0"/>
              <w:tblBorders>
                <w:top w:val="single" w:sz="5" w:color="A8B7BE"/>
                <w:left w:val="single" w:sz="5" w:color="A8B7BE"/>
                <w:bottom w:val="single" w:sz="5" w:color="A8B7BE"/>
                <w:right w:val="single" w:sz="5" w:color="A8B7BE"/>
                <w:insideH w:val="single" w:sz="5" w:color="A8B7BE"/>
                <w:insideV w:val="single" w:sz="5" w:color="A8B7BE"/>
              </w:tblBorders>
            </w:tblPr>
            <w:tblGrid>
              <w:gridCol w:w="7260"/>
            </w:tblGrid>
            <w:tr>
              <w:tc>
                <w:tcPr>
                  <w:tcW w:type="dxa" w:w="7260"/>
                  <w:tcMar>
                    <w:top w:w="55" w:type="dxa"/>
                    <w:bottom w:w="55" w:type="dxa"/>
                    <w:start w:w="85" w:type="dxa"/>
                    <w:end w:w="85" w:type="dxa"/>
                  </w:tcMar>
                  <w:vAlign w:val="top"/>
                  <w:shd w:fill="347783"/>
                </w:tcPr>
                <w:p>
                  <w:pPr>
                    <w:spacing w:before="0" w:after="0" w:line="228" w:lineRule="auto"/>
                    <w:jc w:val="center"/>
                  </w:pPr>
                  <w:r>
                    <w:rPr>
                      <w:rFonts w:ascii="Aptos" w:hAnsi="Aptos"/>
                      <w:b/>
                      <w:color w:val="FFFFFF"/>
                      <w:sz w:val="16"/>
                    </w:rPr>
                    <w:t>713TH MEDICAL GROUP  (MDG)</w:t>
                  </w:r>
                  <w:r>
                    <w:br/>
                  </w:r>
                  <w:r>
                    <w:rPr>
                      <w:rFonts w:ascii="Aptos" w:hAnsi="Aptos"/>
                      <w:b w:val="0"/>
                      <w:color w:val="FFFFFF"/>
                      <w:sz w:val="14"/>
                    </w:rPr>
                    <w:t>Readiness and outpatient care</w:t>
                  </w:r>
                </w:p>
              </w:tc>
            </w:tr>
            <w:tr>
              <w:tc>
                <w:tcPr>
                  <w:tcW w:type="dxa" w:w="7260"/>
                  <w:tcMar>
                    <w:top w:w="55" w:type="dxa"/>
                    <w:bottom w:w="55" w:type="dxa"/>
                    <w:start w:w="85" w:type="dxa"/>
                    <w:end w:w="85" w:type="dxa"/>
                  </w:tcMar>
                  <w:vAlign w:val="top"/>
                  <w:shd w:fill="EEF4EF"/>
                </w:tcPr>
                <w:p>
                  <w:pPr>
                    <w:spacing w:before="0" w:after="0" w:line="221" w:lineRule="auto"/>
                    <w:jc w:val="center"/>
                  </w:pPr>
                  <w:r>
                    <w:rPr>
                      <w:rFonts w:ascii="Aptos" w:hAnsi="Aptos"/>
                      <w:b/>
                      <w:color w:val="26363F"/>
                      <w:sz w:val="14"/>
                    </w:rPr>
                    <w:t>713TH OPERATIONAL MEDICAL READINESS SQUADRON  (OMRS)</w:t>
                  </w:r>
                  <w:r>
                    <w:br/>
                  </w:r>
                  <w:r>
                    <w:rPr>
                      <w:rFonts w:ascii="Aptos" w:hAnsi="Aptos"/>
                      <w:b w:val="0"/>
                      <w:color w:val="26363F"/>
                      <w:sz w:val="13"/>
                    </w:rPr>
                    <w:t>Flight medicine • occupational health • readiness</w:t>
                  </w:r>
                </w:p>
              </w:tc>
            </w:tr>
            <w:tr>
              <w:tc>
                <w:tcPr>
                  <w:tcW w:type="dxa" w:w="7260"/>
                  <w:tcMar>
                    <w:top w:w="55" w:type="dxa"/>
                    <w:bottom w:w="55" w:type="dxa"/>
                    <w:start w:w="85" w:type="dxa"/>
                    <w:end w:w="85" w:type="dxa"/>
                  </w:tcMar>
                  <w:vAlign w:val="top"/>
                  <w:shd w:fill="F4F6F7"/>
                </w:tcPr>
                <w:p>
                  <w:pPr>
                    <w:spacing w:before="0" w:after="0" w:line="221" w:lineRule="auto"/>
                    <w:jc w:val="center"/>
                  </w:pPr>
                  <w:r>
                    <w:rPr>
                      <w:rFonts w:ascii="Aptos" w:hAnsi="Aptos"/>
                      <w:b/>
                      <w:color w:val="26363F"/>
                      <w:sz w:val="14"/>
                    </w:rPr>
                    <w:t>713TH HEALTHCARE OPERATIONS SQUADRON  (HCOS)</w:t>
                  </w:r>
                  <w:r>
                    <w:br/>
                  </w:r>
                  <w:r>
                    <w:rPr>
                      <w:rFonts w:ascii="Aptos" w:hAnsi="Aptos"/>
                      <w:b w:val="0"/>
                      <w:color w:val="26363F"/>
                      <w:sz w:val="13"/>
                    </w:rPr>
                    <w:t>Primary care • mental health • clinical services</w:t>
                  </w:r>
                </w:p>
              </w:tc>
            </w:tr>
            <w:tr>
              <w:tc>
                <w:tcPr>
                  <w:tcW w:type="dxa" w:w="7260"/>
                  <w:tcMar>
                    <w:top w:w="55" w:type="dxa"/>
                    <w:bottom w:w="55" w:type="dxa"/>
                    <w:start w:w="85" w:type="dxa"/>
                    <w:end w:w="85" w:type="dxa"/>
                  </w:tcMar>
                  <w:vAlign w:val="top"/>
                  <w:shd w:fill="EEF4EF"/>
                </w:tcPr>
                <w:p>
                  <w:pPr>
                    <w:spacing w:before="0" w:after="0" w:line="221" w:lineRule="auto"/>
                    <w:jc w:val="center"/>
                  </w:pPr>
                  <w:r>
                    <w:rPr>
                      <w:rFonts w:ascii="Aptos" w:hAnsi="Aptos"/>
                      <w:b/>
                      <w:color w:val="26363F"/>
                      <w:sz w:val="14"/>
                    </w:rPr>
                    <w:t>713TH MEDICAL SUPPORT SQUADRON  (MDSS)</w:t>
                  </w:r>
                  <w:r>
                    <w:br/>
                  </w:r>
                  <w:r>
                    <w:rPr>
                      <w:rFonts w:ascii="Aptos" w:hAnsi="Aptos"/>
                      <w:b w:val="0"/>
                      <w:color w:val="26363F"/>
                      <w:sz w:val="13"/>
                    </w:rPr>
                    <w:t>Pharmacy • laboratory • logistics • administration</w:t>
                  </w:r>
                </w:p>
              </w:tc>
            </w:tr>
            <w:tr>
              <w:tc>
                <w:tcPr>
                  <w:tcW w:type="dxa" w:w="7260"/>
                  <w:tcMar>
                    <w:top w:w="55" w:type="dxa"/>
                    <w:bottom w:w="55" w:type="dxa"/>
                    <w:start w:w="85" w:type="dxa"/>
                    <w:end w:w="85" w:type="dxa"/>
                  </w:tcMar>
                  <w:vAlign w:val="top"/>
                  <w:shd w:fill="F4F6F7"/>
                </w:tcPr>
                <w:p>
                  <w:pPr>
                    <w:spacing w:before="0" w:after="0" w:line="221" w:lineRule="auto"/>
                    <w:jc w:val="center"/>
                  </w:pPr>
                  <w:r>
                    <w:rPr>
                      <w:rFonts w:ascii="Aptos" w:hAnsi="Aptos"/>
                      <w:b/>
                      <w:color w:val="26363F"/>
                      <w:sz w:val="14"/>
                    </w:rPr>
                    <w:t>SHADOW MOSES MEDICAL CLINIC</w:t>
                  </w:r>
                  <w:r>
                    <w:br/>
                  </w:r>
                  <w:r>
                    <w:rPr>
                      <w:rFonts w:ascii="Aptos" w:hAnsi="Aptos"/>
                      <w:b w:val="0"/>
                      <w:color w:val="26363F"/>
                      <w:sz w:val="13"/>
                    </w:rPr>
                    <w:t>Primary operating location for the medical squadrons</w:t>
                  </w:r>
                </w:p>
              </w:tc>
            </w:tr>
          </w:tbl>
          <w:p>
            <w:pPr>
              <w:spacing w:before="0" w:after="0"/>
            </w:pPr>
            <w:r>
              <w:rPr>
                <w:rFonts w:ascii="Aptos" w:hAnsi="Aptos"/>
                <w:b w:val="0"/>
                <w:color w:val="64747C"/>
                <w:sz w:val="2"/>
              </w:rPr>
            </w:r>
          </w:p>
        </w:tc>
      </w:tr>
    </w:tbl>
    <w:sectPr w:rsidR="00FC693F" w:rsidRPr="0006063C" w:rsidSect="00034616">
      <w:footerReference w:type="default" r:id="rId9"/>
      <w:pgSz w:w="15840" w:h="12240" w:orient="landscape"/>
      <w:pgMar w:top="432" w:right="490" w:bottom="446" w:left="490" w:header="216" w:footer="23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Arial" w:hAnsi="Arial"/>
        <w:b w:val="0"/>
        <w:i w:val="0"/>
        <w:color w:val="6F7F86"/>
        <w:sz w:val="13"/>
      </w:rPr>
      <w:t xml:space="preserve">M-04  |  SHADOW MOSES AIR FIELD  |  DRAFT  |  PAGE </w:t>
    </w:r>
    <w:r>
      <w:rPr>
        <w:rFonts w:ascii="Arial" w:hAnsi="Arial"/>
        <w:color w:val="6F7F86"/>
        <w:sz w:val="13"/>
      </w:rPr>
      <w:fldChar w:fldCharType="begin"/>
      <w:instrText xml:space="preserve"> PAGE </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28" w:lineRule="auto"/>
    </w:pPr>
    <w:rPr>
      <w:rFonts w:ascii="Arial" w:hAnsi="Arial"/>
      <w:color w:val="243840"/>
      <w:sz w:val="1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 Shadow Moses Organization Chart</dc:title>
  <dc:subject>Operation NORTHERN LANTERN training exercise</dc:subject>
  <dc:creator>713th Air Base Wing (fictional)</dc:creator>
  <cp:keywords>Air Force organization, command structure, construction training</cp:keywords>
  <dc:description>generated by python-docx</dc:description>
  <cp:lastModifiedBy/>
  <cp:revision>1</cp:revision>
  <dcterms:created xsi:type="dcterms:W3CDTF">2013-12-23T23:15:00Z</dcterms:created>
  <dcterms:modified xsi:type="dcterms:W3CDTF">2013-12-23T23:15:00Z</dcterms:modified>
  <cp:category/>
</cp:coreProperties>
</file>