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WALL-CONDITION REPORT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Building 100 SIPR Room 1-126 | Reported after Government possession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Report number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CES-CP-28-0914-03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Observed / reported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14 September 2028 / 0815 and 0840 Alaska time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Observer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Dr. Hal Emmerich, Chief Facilities Engineer, 713 CES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Possession began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10 September 2028 / 0700 Alaska time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Location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Room 1-126, broad north wall, finish designation A-17</w:t>
            </w:r>
          </w:p>
        </w:tc>
      </w:tr>
    </w:tbl>
    <w:p>
      <w:pPr>
        <w:pStyle w:val="Heading1"/>
        <w:keepNext/>
      </w:pPr>
      <w:r>
        <w:t>Observed condition</w:t>
      </w:r>
    </w:p>
    <w:p>
      <w:pPr>
        <w:keepLines/>
        <w:spacing w:before="0" w:after="100" w:line="264" w:lineRule="auto"/>
        <w:ind w:left="0"/>
      </w:pPr>
      <w:r>
        <w:rPr>
          <w:rFonts w:ascii="Calibri" w:hAnsi="Calibri"/>
          <w:color w:val="192530"/>
          <w:sz w:val="22"/>
        </w:rPr>
        <w:t>A long horizontal scratch cuts through the blue-gray finish coat on Wall A-17. The exposed line is approximately 58 inches long, varies from 1/8 to 3/8 inch in height, and is centered approximately 44 inches above finished floor. No substrate fracture, moisture, loose gypsum, or security-system damage is visible.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Record check</w:t>
            </w:r>
          </w:p>
        </w:tc>
        <w:tc>
          <w:tcPr>
            <w:tcW w:type="dxa" w:w="63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Result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O-01 remaining-work list</w:t>
            </w:r>
          </w:p>
        </w:tc>
        <w:tc>
          <w:tcPr>
            <w:tcW w:type="dxa" w:w="6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Does not identify repair of Wall A-17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Room use since possession</w:t>
            </w:r>
          </w:p>
        </w:tc>
        <w:tc>
          <w:tcPr>
            <w:tcW w:type="dxa" w:w="6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Sneaking Mission briefings and routine Command Post access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Contractor access</w:t>
            </w:r>
          </w:p>
        </w:tc>
        <w:tc>
          <w:tcPr>
            <w:tcW w:type="dxa" w:w="6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Two escorted ceiling-label work periods; no recorded Wall A-17 repair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Cause / time of damage</w:t>
            </w:r>
          </w:p>
        </w:tc>
        <w:tc>
          <w:tcPr>
            <w:tcW w:type="dxa" w:w="6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NOT ESTABLISHED BY THIS REPORT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ACTION REQUESTED: </w:t>
            </w:r>
            <w:r>
              <w:rPr>
                <w:rFonts w:ascii="Calibri" w:hAnsi="Calibri"/>
                <w:color w:val="192530"/>
                <w:sz w:val="18"/>
              </w:rPr>
              <w:t>Contracting should determine when the condition arose and which contract record controls before directing repair, assigning cost, or treating the condition as Government-caused damage.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840"/>
        <w:gridCol w:w="4320"/>
        <w:gridCol w:w="2200"/>
      </w:tblGrid>
      <w:tr>
        <w:trPr>
          <w:tblHeader w:val="true"/>
          <w:cantSplit/>
        </w:trPr>
        <w:tc>
          <w:tcPr>
            <w:tcW w:type="dxa" w:w="28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Signed</w:t>
            </w:r>
          </w:p>
        </w:tc>
        <w:tc>
          <w:tcPr>
            <w:tcW w:type="dxa" w:w="43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Name / position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Date</w:t>
            </w:r>
          </w:p>
        </w:tc>
      </w:tr>
      <w:tr>
        <w:trPr>
          <w:cantSplit/>
        </w:trPr>
        <w:tc>
          <w:tcPr>
            <w:tcW w:type="dxa" w:w="2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Hal Emmerich</w:t>
            </w:r>
          </w:p>
        </w:tc>
        <w:tc>
          <w:tcPr>
            <w:tcW w:type="dxa" w:w="4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Hal Emmerich</w:t>
              <w:br/>
              <w:t>Chief Facilities Engineer, 713 CES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14 Sep 2028</w:t>
            </w:r>
          </w:p>
        </w:tc>
      </w:tr>
    </w:tbl>
    <w:p>
      <w:pPr>
        <w:spacing w:before="80" w:after="0" w:line="240" w:lineRule="auto"/>
      </w:pPr>
      <w:r>
        <w:rPr>
          <w:rFonts w:ascii="Calibri" w:hAnsi="Calibri"/>
          <w:b/>
          <w:color w:val="606A74"/>
          <w:sz w:val="15"/>
        </w:rPr>
        <w:t xml:space="preserve">Record note: </w:t>
      </w:r>
      <w:r>
        <w:rPr>
          <w:rFonts w:ascii="Calibri" w:hAnsi="Calibri"/>
          <w:color w:val="606A74"/>
          <w:sz w:val="15"/>
        </w:rPr>
        <w:t>The measurements and observations are fictional exercise facts. This report records condition, not responsibility or acceptance.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O-02  |  POST-POSSESSION WALL-CONDITION REPORT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O-02 Post-Possession Wall-Condition Report</dc:title>
  <dc:subject>Factual report of a scratch discovered after Government possession</dc:subject>
  <dc:creator>713th Civil Engineering Squadron</dc:creator>
  <cp:keywords>training, construction, use and possession, acceptance, inspection, FAR 52.236-11, FAR 52.246-12</cp:keywords>
  <dc:description>Exercise use only. All names, places, dates, photographs, and records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