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DIAMOND DOGS CIVIL WORKS, LLC</w:t>
      </w:r>
    </w:p>
    <w:p>
      <w:pPr>
        <w:keepNext/>
        <w:spacing w:before="0" w:after="280"/>
        <w:jc w:val="center"/>
      </w:pPr>
      <w:r>
        <w:rPr>
          <w:rFonts w:ascii="Calibri" w:hAnsi="Calibri"/>
          <w:b/>
          <w:color w:val="606A74"/>
          <w:sz w:val="21"/>
        </w:rPr>
        <w:t>SHADOW MOSES AIR FIELD, ALASKA</w:t>
      </w:r>
    </w:p>
    <w:p>
      <w:pPr>
        <w:keepLines/>
        <w:spacing w:before="0" w:after="60" w:line="252" w:lineRule="auto"/>
      </w:pPr>
      <w:r>
        <w:rPr>
          <w:rFonts w:ascii="Calibri" w:hAnsi="Calibri"/>
          <w:b/>
          <w:color w:val="192530"/>
          <w:sz w:val="22"/>
        </w:rPr>
        <w:t xml:space="preserve">TO: </w:t>
      </w:r>
      <w:r>
        <w:rPr>
          <w:rFonts w:ascii="Calibri" w:hAnsi="Calibri"/>
          <w:color w:val="192530"/>
          <w:sz w:val="22"/>
        </w:rPr>
        <w:t>Maj Helena Dolph Jackson, Contracting Officer, 713 CONS</w:t>
      </w:r>
    </w:p>
    <w:p>
      <w:pPr>
        <w:keepLines/>
        <w:spacing w:before="0" w:after="60" w:line="252" w:lineRule="auto"/>
      </w:pPr>
      <w:r>
        <w:rPr>
          <w:rFonts w:ascii="Calibri" w:hAnsi="Calibri"/>
          <w:b/>
          <w:color w:val="192530"/>
          <w:sz w:val="22"/>
        </w:rPr>
        <w:t xml:space="preserve">FROM: </w:t>
      </w:r>
      <w:r>
        <w:rPr>
          <w:rFonts w:ascii="Calibri" w:hAnsi="Calibri"/>
          <w:color w:val="192530"/>
          <w:sz w:val="22"/>
        </w:rPr>
        <w:t>Dana Rourke, PE, Program Manager, Diamond Dogs Civil Works, LLC</w:t>
      </w:r>
    </w:p>
    <w:p>
      <w:pPr>
        <w:keepLines/>
        <w:spacing w:before="0" w:after="60" w:line="252" w:lineRule="auto"/>
      </w:pPr>
      <w:r>
        <w:rPr>
          <w:rFonts w:ascii="Calibri" w:hAnsi="Calibri"/>
          <w:b/>
          <w:color w:val="192530"/>
          <w:sz w:val="22"/>
        </w:rPr>
        <w:t xml:space="preserve">DATE / TIME: </w:t>
      </w:r>
      <w:r>
        <w:rPr>
          <w:rFonts w:ascii="Calibri" w:hAnsi="Calibri"/>
          <w:color w:val="192530"/>
          <w:sz w:val="22"/>
        </w:rPr>
        <w:t>14 September 2028 / 1105 Alaska time</w:t>
      </w:r>
    </w:p>
    <w:p>
      <w:pPr>
        <w:keepLines/>
        <w:spacing w:before="0" w:after="60" w:line="252" w:lineRule="auto"/>
      </w:pPr>
      <w:r>
        <w:rPr>
          <w:rFonts w:ascii="Calibri" w:hAnsi="Calibri"/>
          <w:b/>
          <w:color w:val="192530"/>
          <w:sz w:val="22"/>
        </w:rPr>
        <w:t xml:space="preserve">SUBJECT: </w:t>
      </w:r>
      <w:r>
        <w:rPr>
          <w:rFonts w:ascii="Calibri" w:hAnsi="Calibri"/>
          <w:color w:val="192530"/>
          <w:sz w:val="22"/>
        </w:rPr>
        <w:t>Initial response - Wall A-17 condition in Government-occupied SIPR room</w:t>
      </w:r>
    </w:p>
    <w:p>
      <w:pPr>
        <w:keepLines/>
        <w:spacing w:before="0" w:after="160" w:line="252" w:lineRule="auto"/>
      </w:pPr>
      <w:r>
        <w:rPr>
          <w:rFonts w:ascii="Calibri" w:hAnsi="Calibri"/>
          <w:b/>
          <w:color w:val="192530"/>
          <w:sz w:val="22"/>
        </w:rPr>
        <w:t xml:space="preserve">REFERENCE: </w:t>
      </w:r>
      <w:r>
        <w:rPr>
          <w:rFonts w:ascii="Calibri" w:hAnsi="Calibri"/>
          <w:color w:val="192530"/>
          <w:sz w:val="22"/>
        </w:rPr>
        <w:t>Task Order FA-27-008; O-01; CES report CES-CP-28-0914-03</w:t>
      </w:r>
    </w:p>
    <w:p>
      <w:pPr>
        <w:pStyle w:val="Heading1"/>
        <w:keepNext/>
      </w:pPr>
      <w:r>
        <w:t>Initial position</w:t>
      </w:r>
    </w:p>
    <w:p>
      <w:pPr>
        <w:keepLines/>
        <w:spacing w:before="0" w:after="120" w:line="264" w:lineRule="auto"/>
        <w:ind w:left="0"/>
      </w:pPr>
      <w:r>
        <w:rPr>
          <w:rFonts w:ascii="Calibri" w:hAnsi="Calibri"/>
          <w:color w:val="192530"/>
          <w:sz w:val="22"/>
        </w:rPr>
        <w:t>Diamond Dogs acknowledges receipt of the wall-condition report. Government possession and operational use of Room 1-126 began on 10 September. Since that time, Command Post personnel have controlled the room outside the escorted access windows stated in O-01.</w:t>
      </w:r>
    </w:p>
    <w:p>
      <w:pPr>
        <w:keepLines/>
        <w:spacing w:before="0" w:after="120" w:line="264" w:lineRule="auto"/>
        <w:ind w:left="0"/>
      </w:pPr>
      <w:r>
        <w:rPr>
          <w:rFonts w:ascii="Calibri" w:hAnsi="Calibri"/>
          <w:color w:val="192530"/>
          <w:sz w:val="22"/>
        </w:rPr>
        <w:t>FAR 52.236-11 relieves the contractor of responsibility for loss of or damage to the work resulting from Government possession or use. The scratch was first reported to Diamond Dogs after Government operations began. On the presently supplied record, Diamond Dogs cannot accept responsibility for the reported damage.</w:t>
      </w:r>
    </w:p>
    <w:p>
      <w:pPr>
        <w:keepLines/>
        <w:spacing w:before="0" w:after="160" w:line="264" w:lineRule="auto"/>
        <w:ind w:left="0"/>
      </w:pPr>
      <w:r>
        <w:rPr>
          <w:rFonts w:ascii="Calibri" w:hAnsi="Calibri"/>
          <w:color w:val="192530"/>
          <w:sz w:val="22"/>
        </w:rPr>
        <w:t>If the Government wants Diamond Dogs to refinish Wall A-17, please provide the pre-possession condition record or other evidence establishing contractor responsibility. Otherwise, Diamond Dogs requests written direction identifying the repair as changed work, with price and time reserved until the effect is evaluated.</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9360"/>
      </w:tblGrid>
      <w:tr>
        <w:tc>
          <w:tcPr>
            <w:tcW w:type="dxa" w:w="9360"/>
            <w:shd w:fill="F8F1DD"/>
            <w:vAlign w:val="center"/>
            <w:tcMar>
              <w:top w:w="100" w:type="dxa"/>
              <w:bottom w:w="100" w:type="dxa"/>
              <w:start w:w="120" w:type="dxa"/>
              <w:end w:w="120" w:type="dxa"/>
            </w:tcMar>
          </w:tcPr>
          <w:p>
            <w:pPr>
              <w:keepLines/>
              <w:spacing w:before="40" w:after="40" w:line="252" w:lineRule="auto"/>
            </w:pPr>
            <w:r>
              <w:rPr>
                <w:rFonts w:ascii="Calibri" w:hAnsi="Calibri"/>
                <w:b/>
                <w:color w:val="2E74B5"/>
                <w:sz w:val="18"/>
              </w:rPr>
              <w:t xml:space="preserve">POSITION LIMIT: </w:t>
            </w:r>
            <w:r>
              <w:rPr>
                <w:rFonts w:ascii="Calibri" w:hAnsi="Calibri"/>
                <w:color w:val="192530"/>
                <w:sz w:val="18"/>
              </w:rPr>
              <w:t>This is an initial position based on the records furnished with the condition report. Diamond Dogs reserves the right to supplement its response after additional factual records are produced.</w:t>
            </w:r>
          </w:p>
        </w:tc>
      </w:tr>
    </w:tbl>
    <w:tbl>
      <w:tblPr>
        <w:tblStyle w:val="TableGrid"/>
        <w:tblW w:type="dxa" w:w="9360"/>
        <w:jc w:val="left"/>
        <w:tblLayout w:type="fixed"/>
        <w:tblLook w:firstColumn="1" w:firstRow="1" w:lastColumn="0" w:lastRow="0" w:noHBand="0" w:noVBand="1" w:val="04A0"/>
        <w:tblInd w:w="120" w:type="dxa"/>
        <w:tblBorders>
          <w:top w:val="single" w:sz="5" w:color="8A969F"/>
          <w:left w:val="single" w:sz="5" w:color="8A969F"/>
          <w:bottom w:val="single" w:sz="5" w:color="8A969F"/>
          <w:right w:val="single" w:sz="5" w:color="8A969F"/>
          <w:insideH w:val="single" w:sz="5" w:color="8A969F"/>
          <w:insideV w:val="single" w:sz="5" w:color="8A969F"/>
        </w:tblBorders>
      </w:tblPr>
      <w:tblGrid>
        <w:gridCol w:w="2840"/>
        <w:gridCol w:w="4320"/>
        <w:gridCol w:w="2200"/>
      </w:tblGrid>
      <w:tr>
        <w:trPr>
          <w:tblHeader w:val="true"/>
          <w:cantSplit/>
        </w:trPr>
        <w:tc>
          <w:tcPr>
            <w:tcW w:type="dxa" w:w="2840"/>
            <w:shd w:fill="E8EEF5"/>
            <w:vAlign w:val="center"/>
            <w:tcMar>
              <w:top w:w="100" w:type="dxa"/>
              <w:bottom w:w="100" w:type="dxa"/>
              <w:start w:w="120" w:type="dxa"/>
              <w:end w:w="120" w:type="dxa"/>
            </w:tcMar>
          </w:tcPr>
          <w:p>
            <w:pPr>
              <w:keepLines/>
              <w:spacing w:before="20" w:after="20" w:line="240" w:lineRule="auto"/>
              <w:jc w:val="center"/>
            </w:pPr>
            <w:r/>
            <w:r>
              <w:rPr>
                <w:rFonts w:ascii="Calibri" w:hAnsi="Calibri"/>
                <w:b/>
                <w:color w:val="192530"/>
                <w:sz w:val="17"/>
              </w:rPr>
              <w:t>Signed</w:t>
            </w:r>
          </w:p>
        </w:tc>
        <w:tc>
          <w:tcPr>
            <w:tcW w:type="dxa" w:w="4320"/>
            <w:shd w:fill="E8EEF5"/>
            <w:vAlign w:val="center"/>
            <w:tcMar>
              <w:top w:w="100" w:type="dxa"/>
              <w:bottom w:w="100" w:type="dxa"/>
              <w:start w:w="120" w:type="dxa"/>
              <w:end w:w="120" w:type="dxa"/>
            </w:tcMar>
          </w:tcPr>
          <w:p>
            <w:pPr>
              <w:keepLines/>
              <w:spacing w:before="20" w:after="20" w:line="240" w:lineRule="auto"/>
              <w:jc w:val="left"/>
            </w:pPr>
            <w:r/>
            <w:r>
              <w:rPr>
                <w:rFonts w:ascii="Calibri" w:hAnsi="Calibri"/>
                <w:b/>
                <w:color w:val="192530"/>
                <w:sz w:val="17"/>
              </w:rPr>
              <w:t>Name / position</w:t>
            </w:r>
          </w:p>
        </w:tc>
        <w:tc>
          <w:tcPr>
            <w:tcW w:type="dxa" w:w="2200"/>
            <w:shd w:fill="E8EEF5"/>
            <w:vAlign w:val="center"/>
            <w:tcMar>
              <w:top w:w="100" w:type="dxa"/>
              <w:bottom w:w="100" w:type="dxa"/>
              <w:start w:w="120" w:type="dxa"/>
              <w:end w:w="120" w:type="dxa"/>
            </w:tcMar>
          </w:tcPr>
          <w:p>
            <w:pPr>
              <w:keepLines/>
              <w:spacing w:before="20" w:after="20" w:line="240" w:lineRule="auto"/>
              <w:jc w:val="center"/>
            </w:pPr>
            <w:r/>
            <w:r>
              <w:rPr>
                <w:rFonts w:ascii="Calibri" w:hAnsi="Calibri"/>
                <w:b/>
                <w:color w:val="192530"/>
                <w:sz w:val="17"/>
              </w:rPr>
              <w:t>Date</w:t>
            </w:r>
          </w:p>
        </w:tc>
      </w:tr>
      <w:tr>
        <w:trPr>
          <w:cantSplit/>
        </w:trPr>
        <w:tc>
          <w:tcPr>
            <w:tcW w:type="dxa" w:w="2840"/>
            <w:vAlign w:val="center"/>
            <w:tcMar>
              <w:top w:w="100" w:type="dxa"/>
              <w:bottom w:w="100" w:type="dxa"/>
              <w:start w:w="120" w:type="dxa"/>
              <w:end w:w="120" w:type="dxa"/>
            </w:tcMar>
          </w:tcPr>
          <w:p>
            <w:pPr>
              <w:keepLines/>
              <w:spacing w:before="20" w:after="20" w:line="240" w:lineRule="auto"/>
              <w:jc w:val="center"/>
            </w:pPr>
            <w:r/>
            <w:r>
              <w:rPr>
                <w:rFonts w:ascii="Calibri" w:hAnsi="Calibri"/>
                <w:b w:val="0"/>
                <w:color w:val="192530"/>
                <w:sz w:val="17"/>
              </w:rPr>
              <w:t>/s/ Dana Rourke</w:t>
            </w:r>
          </w:p>
        </w:tc>
        <w:tc>
          <w:tcPr>
            <w:tcW w:type="dxa" w:w="4320"/>
            <w:vAlign w:val="center"/>
            <w:tcMar>
              <w:top w:w="100" w:type="dxa"/>
              <w:bottom w:w="100" w:type="dxa"/>
              <w:start w:w="120" w:type="dxa"/>
              <w:end w:w="120" w:type="dxa"/>
            </w:tcMar>
          </w:tcPr>
          <w:p>
            <w:pPr>
              <w:keepLines/>
              <w:spacing w:before="20" w:after="20" w:line="240" w:lineRule="auto"/>
              <w:jc w:val="left"/>
            </w:pPr>
            <w:r/>
            <w:r>
              <w:rPr>
                <w:rFonts w:ascii="Calibri" w:hAnsi="Calibri"/>
                <w:b w:val="0"/>
                <w:color w:val="192530"/>
                <w:sz w:val="17"/>
              </w:rPr>
              <w:t>Dana Rourke</w:t>
              <w:br/>
              <w:t>Program Manager, Diamond Dogs Civil Works, LLC</w:t>
            </w:r>
          </w:p>
        </w:tc>
        <w:tc>
          <w:tcPr>
            <w:tcW w:type="dxa" w:w="2200"/>
            <w:vAlign w:val="center"/>
            <w:tcMar>
              <w:top w:w="100" w:type="dxa"/>
              <w:bottom w:w="100" w:type="dxa"/>
              <w:start w:w="120" w:type="dxa"/>
              <w:end w:w="120" w:type="dxa"/>
            </w:tcMar>
          </w:tcPr>
          <w:p>
            <w:pPr>
              <w:keepLines/>
              <w:spacing w:before="20" w:after="20" w:line="240" w:lineRule="auto"/>
              <w:jc w:val="center"/>
            </w:pPr>
            <w:r/>
            <w:r>
              <w:rPr>
                <w:rFonts w:ascii="Calibri" w:hAnsi="Calibri"/>
                <w:b w:val="0"/>
                <w:color w:val="192530"/>
                <w:sz w:val="17"/>
              </w:rPr>
              <w:t>14 Sep 2028</w:t>
            </w:r>
          </w:p>
        </w:tc>
      </w:tr>
    </w:tbl>
    <w:sectPr w:rsidR="00FC693F" w:rsidRPr="0006063C" w:rsidSect="00034616">
      <w:headerReference w:type="default" r:id="rId9"/>
      <w:footerReference w:type="default" r:id="rId10"/>
      <w:pgSz w:w="12240" w:h="15840"/>
      <w:pgMar w:top="792" w:right="1123" w:bottom="792" w:left="1123"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O-03  |  CONTRACTOR INITIAL DAMAGE RESPONSE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192530"/>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O-03 Diamond Dogs Initial Damage Response</dc:title>
  <dc:subject>Contractor's initial responsibility position after wall damage is reported</dc:subject>
  <dc:creator>Diamond Dogs Civil Works, LLC</dc:creator>
  <cp:keywords>training, construction, use and possession, acceptance, inspection, FAR 52.236-11, FAR 52.246-12</cp:keywords>
  <dc:description>Exercise use only. All names, places, dates, photographs, and records are fictional.</dc:description>
  <cp:lastModifiedBy/>
  <cp:revision>1</cp:revision>
  <dcterms:created xsi:type="dcterms:W3CDTF">2013-12-23T23:15:00Z</dcterms:created>
  <dcterms:modified xsi:type="dcterms:W3CDTF">2013-12-23T23:15:00Z</dcterms:modified>
  <cp:category/>
</cp:coreProperties>
</file>